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94A4F" w14:textId="77777777" w:rsidR="009C26E2" w:rsidRPr="00A437F4" w:rsidRDefault="009C26E2" w:rsidP="009C26E2">
      <w:pPr>
        <w:pStyle w:val="NormalWeb"/>
        <w:shd w:val="clear" w:color="auto" w:fill="FFFFFF"/>
        <w:spacing w:before="0" w:beforeAutospacing="0" w:after="150" w:afterAutospacing="0"/>
        <w:rPr>
          <w:color w:val="000000" w:themeColor="text1"/>
          <w:sz w:val="56"/>
          <w:szCs w:val="56"/>
        </w:rPr>
      </w:pPr>
    </w:p>
    <w:p w14:paraId="6034A113" w14:textId="77777777"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72"/>
          <w:szCs w:val="72"/>
        </w:rPr>
      </w:pPr>
      <w:r w:rsidRPr="00A437F4">
        <w:rPr>
          <w:color w:val="000000" w:themeColor="text1"/>
          <w:sz w:val="72"/>
          <w:szCs w:val="72"/>
        </w:rPr>
        <w:t>N</w:t>
      </w:r>
      <w:r w:rsidRPr="00A437F4">
        <w:rPr>
          <w:color w:val="000000" w:themeColor="text1"/>
          <w:sz w:val="72"/>
          <w:szCs w:val="72"/>
          <w:vertAlign w:val="superscript"/>
        </w:rPr>
        <w:t>o</w:t>
      </w:r>
      <w:r w:rsidRPr="00A437F4">
        <w:rPr>
          <w:color w:val="000000" w:themeColor="text1"/>
          <w:sz w:val="72"/>
          <w:szCs w:val="72"/>
        </w:rPr>
        <w:t> XXXX</w:t>
      </w:r>
    </w:p>
    <w:p w14:paraId="5E1430B7" w14:textId="77777777"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19"/>
          <w:szCs w:val="19"/>
        </w:rPr>
      </w:pPr>
      <w:r w:rsidRPr="00A437F4">
        <w:rPr>
          <w:b/>
          <w:bCs/>
          <w:color w:val="000000" w:themeColor="text1"/>
        </w:rPr>
        <w:t>_____</w:t>
      </w:r>
    </w:p>
    <w:p w14:paraId="479DBC04" w14:textId="77777777"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72"/>
          <w:szCs w:val="72"/>
        </w:rPr>
      </w:pPr>
      <w:r w:rsidRPr="00A437F4">
        <w:rPr>
          <w:color w:val="000000" w:themeColor="text1"/>
          <w:sz w:val="72"/>
          <w:szCs w:val="72"/>
        </w:rPr>
        <w:t>ASSEMBLÉE NATIONALE</w:t>
      </w:r>
    </w:p>
    <w:p w14:paraId="0942AFA3" w14:textId="77777777"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19"/>
          <w:szCs w:val="19"/>
        </w:rPr>
      </w:pPr>
      <w:r w:rsidRPr="00A437F4">
        <w:rPr>
          <w:color w:val="000000" w:themeColor="text1"/>
        </w:rPr>
        <w:t>CONSTITUTION DU 4 OCTOBRE 1958</w:t>
      </w:r>
    </w:p>
    <w:p w14:paraId="5E58ACF2" w14:textId="77777777"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19"/>
          <w:szCs w:val="19"/>
        </w:rPr>
      </w:pPr>
      <w:r w:rsidRPr="00A437F4">
        <w:rPr>
          <w:color w:val="000000" w:themeColor="text1"/>
          <w:sz w:val="20"/>
          <w:szCs w:val="20"/>
        </w:rPr>
        <w:t>QUINZIÈME LÉGISLATURE</w:t>
      </w:r>
    </w:p>
    <w:p w14:paraId="0AEFAA9E" w14:textId="77777777" w:rsidR="009C26E2" w:rsidRPr="00A437F4" w:rsidRDefault="009C26E2" w:rsidP="009C26E2">
      <w:pPr>
        <w:pStyle w:val="NormalWeb"/>
        <w:shd w:val="clear" w:color="auto" w:fill="FFFFFF"/>
        <w:spacing w:before="0" w:beforeAutospacing="0" w:after="150" w:afterAutospacing="0"/>
        <w:jc w:val="center"/>
        <w:rPr>
          <w:color w:val="000000" w:themeColor="text1"/>
          <w:sz w:val="20"/>
          <w:szCs w:val="20"/>
        </w:rPr>
      </w:pPr>
      <w:r w:rsidRPr="00A437F4">
        <w:rPr>
          <w:color w:val="000000" w:themeColor="text1"/>
          <w:sz w:val="20"/>
          <w:szCs w:val="20"/>
        </w:rPr>
        <w:t xml:space="preserve">Enregistrée à la Présidence de l’Assemblée nationale le XX XXXX </w:t>
      </w:r>
      <w:proofErr w:type="spellStart"/>
      <w:r w:rsidRPr="00A437F4">
        <w:rPr>
          <w:color w:val="000000" w:themeColor="text1"/>
          <w:sz w:val="20"/>
          <w:szCs w:val="20"/>
        </w:rPr>
        <w:t>XXXX</w:t>
      </w:r>
      <w:proofErr w:type="spellEnd"/>
    </w:p>
    <w:p w14:paraId="277115B0" w14:textId="77777777" w:rsidR="009C26E2" w:rsidRPr="00A437F4" w:rsidRDefault="009C26E2" w:rsidP="009C26E2">
      <w:pPr>
        <w:pStyle w:val="NormalWeb"/>
        <w:shd w:val="clear" w:color="auto" w:fill="FFFFFF"/>
        <w:spacing w:before="0" w:beforeAutospacing="0" w:after="150" w:afterAutospacing="0"/>
        <w:jc w:val="center"/>
        <w:rPr>
          <w:color w:val="000000" w:themeColor="text1"/>
          <w:sz w:val="20"/>
          <w:szCs w:val="20"/>
        </w:rPr>
      </w:pPr>
    </w:p>
    <w:p w14:paraId="3859D3CF" w14:textId="77777777"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19"/>
          <w:szCs w:val="19"/>
        </w:rPr>
      </w:pPr>
    </w:p>
    <w:p w14:paraId="691F81FD" w14:textId="77777777" w:rsidR="009C26E2" w:rsidRPr="00A437F4" w:rsidRDefault="009C26E2" w:rsidP="009C26E2">
      <w:pPr>
        <w:pStyle w:val="NormalWeb"/>
        <w:shd w:val="clear" w:color="auto" w:fill="FFFFFF"/>
        <w:spacing w:before="0" w:beforeAutospacing="0" w:after="150" w:afterAutospacing="0"/>
        <w:jc w:val="center"/>
        <w:rPr>
          <w:b/>
          <w:bCs/>
          <w:color w:val="000000" w:themeColor="text1"/>
          <w:sz w:val="56"/>
          <w:szCs w:val="56"/>
        </w:rPr>
      </w:pPr>
      <w:r w:rsidRPr="00A437F4">
        <w:rPr>
          <w:b/>
          <w:bCs/>
          <w:color w:val="000000" w:themeColor="text1"/>
          <w:sz w:val="56"/>
          <w:szCs w:val="56"/>
        </w:rPr>
        <w:t>PROPOSITION DE LOI</w:t>
      </w:r>
      <w:r w:rsidRPr="00A437F4">
        <w:rPr>
          <w:b/>
          <w:bCs/>
          <w:color w:val="000000" w:themeColor="text1"/>
          <w:sz w:val="56"/>
          <w:szCs w:val="56"/>
        </w:rPr>
        <w:br/>
      </w:r>
    </w:p>
    <w:p w14:paraId="78CAC649" w14:textId="77777777"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19"/>
          <w:szCs w:val="19"/>
        </w:rPr>
      </w:pPr>
    </w:p>
    <w:p w14:paraId="6C853D50" w14:textId="0012CDAC" w:rsidR="00425FE1" w:rsidRPr="00A437F4" w:rsidRDefault="00926665" w:rsidP="00425FE1">
      <w:pPr>
        <w:pStyle w:val="Standard"/>
        <w:jc w:val="center"/>
        <w:rPr>
          <w:rFonts w:ascii="Times New Roman" w:hAnsi="Times New Roman" w:cs="Times New Roman"/>
          <w:b/>
          <w:bCs/>
          <w:i/>
          <w:iCs/>
          <w:color w:val="000000" w:themeColor="text1"/>
          <w:sz w:val="28"/>
          <w:szCs w:val="28"/>
        </w:rPr>
      </w:pPr>
      <w:r w:rsidRPr="00A437F4">
        <w:rPr>
          <w:rFonts w:ascii="Times New Roman" w:hAnsi="Times New Roman" w:cs="Times New Roman"/>
          <w:b/>
          <w:bCs/>
          <w:i/>
          <w:iCs/>
          <w:color w:val="000000" w:themeColor="text1"/>
          <w:sz w:val="28"/>
          <w:szCs w:val="28"/>
        </w:rPr>
        <w:t xml:space="preserve">visant </w:t>
      </w:r>
      <w:r w:rsidR="0021109F" w:rsidRPr="00A437F4">
        <w:rPr>
          <w:rFonts w:ascii="Times New Roman" w:hAnsi="Times New Roman" w:cs="Times New Roman"/>
          <w:b/>
          <w:bCs/>
          <w:i/>
          <w:iCs/>
          <w:color w:val="000000" w:themeColor="text1"/>
          <w:sz w:val="28"/>
          <w:szCs w:val="28"/>
        </w:rPr>
        <w:t xml:space="preserve">à </w:t>
      </w:r>
      <w:r w:rsidRPr="00A437F4">
        <w:rPr>
          <w:rFonts w:ascii="Times New Roman" w:hAnsi="Times New Roman" w:cs="Times New Roman"/>
          <w:b/>
          <w:bCs/>
          <w:i/>
          <w:iCs/>
          <w:color w:val="000000" w:themeColor="text1"/>
          <w:sz w:val="28"/>
          <w:szCs w:val="28"/>
        </w:rPr>
        <w:t>lutter contre l’endométriose</w:t>
      </w:r>
    </w:p>
    <w:p w14:paraId="44A7BEEC" w14:textId="77777777" w:rsidR="009C26E2" w:rsidRPr="00A437F4" w:rsidRDefault="009C26E2" w:rsidP="009C26E2">
      <w:pPr>
        <w:pStyle w:val="NormalWeb"/>
        <w:shd w:val="clear" w:color="auto" w:fill="FFFFFF"/>
        <w:spacing w:before="0" w:beforeAutospacing="0" w:after="0" w:afterAutospacing="0" w:line="276" w:lineRule="auto"/>
        <w:jc w:val="center"/>
        <w:rPr>
          <w:b/>
          <w:bCs/>
          <w:i/>
          <w:iCs/>
          <w:color w:val="000000" w:themeColor="text1"/>
          <w:sz w:val="28"/>
          <w:szCs w:val="28"/>
        </w:rPr>
      </w:pPr>
    </w:p>
    <w:p w14:paraId="725434CE" w14:textId="77777777" w:rsidR="009C26E2" w:rsidRPr="00A437F4" w:rsidRDefault="009C26E2" w:rsidP="009C26E2">
      <w:pPr>
        <w:pStyle w:val="NormalWeb"/>
        <w:shd w:val="clear" w:color="auto" w:fill="FFFFFF"/>
        <w:spacing w:before="0" w:beforeAutospacing="0" w:after="150" w:afterAutospacing="0"/>
        <w:jc w:val="center"/>
        <w:rPr>
          <w:rFonts w:ascii="Verdana" w:hAnsi="Verdana"/>
          <w:i/>
          <w:iCs/>
          <w:color w:val="000000" w:themeColor="text1"/>
          <w:sz w:val="19"/>
          <w:szCs w:val="19"/>
        </w:rPr>
      </w:pPr>
    </w:p>
    <w:p w14:paraId="237AB135" w14:textId="77777777" w:rsidR="009C26E2" w:rsidRPr="00A437F4" w:rsidRDefault="009C26E2" w:rsidP="009C26E2">
      <w:pPr>
        <w:pStyle w:val="NormalWeb"/>
        <w:shd w:val="clear" w:color="auto" w:fill="FFFFFF"/>
        <w:spacing w:before="0" w:beforeAutospacing="0" w:after="150" w:afterAutospacing="0"/>
        <w:jc w:val="center"/>
        <w:rPr>
          <w:rFonts w:ascii="Verdana" w:hAnsi="Verdana"/>
          <w:i/>
          <w:iCs/>
          <w:color w:val="000000" w:themeColor="text1"/>
          <w:sz w:val="19"/>
          <w:szCs w:val="19"/>
        </w:rPr>
      </w:pPr>
    </w:p>
    <w:p w14:paraId="34ED0729" w14:textId="65B886D9" w:rsidR="009C26E2" w:rsidRPr="00A437F4" w:rsidRDefault="009C26E2" w:rsidP="009C26E2">
      <w:pPr>
        <w:pStyle w:val="NormalWeb"/>
        <w:shd w:val="clear" w:color="auto" w:fill="FFFFFF"/>
        <w:spacing w:before="0" w:beforeAutospacing="0" w:after="150" w:afterAutospacing="0"/>
        <w:jc w:val="center"/>
        <w:rPr>
          <w:color w:val="000000" w:themeColor="text1"/>
        </w:rPr>
      </w:pPr>
      <w:r w:rsidRPr="00A437F4">
        <w:rPr>
          <w:color w:val="000000" w:themeColor="text1"/>
          <w:sz w:val="20"/>
          <w:szCs w:val="20"/>
        </w:rPr>
        <w:t>PRÉSENTÉE,</w:t>
      </w:r>
      <w:r w:rsidRPr="00A437F4">
        <w:rPr>
          <w:color w:val="000000" w:themeColor="text1"/>
          <w:sz w:val="20"/>
          <w:szCs w:val="20"/>
        </w:rPr>
        <w:br/>
      </w:r>
      <w:r w:rsidRPr="00A437F4">
        <w:rPr>
          <w:color w:val="000000" w:themeColor="text1"/>
          <w:sz w:val="20"/>
          <w:szCs w:val="20"/>
        </w:rPr>
        <w:br/>
      </w:r>
      <w:r w:rsidRPr="00A437F4">
        <w:rPr>
          <w:color w:val="000000" w:themeColor="text1"/>
        </w:rPr>
        <w:br/>
      </w:r>
      <w:r w:rsidRPr="00A437F4">
        <w:rPr>
          <w:color w:val="000000" w:themeColor="text1"/>
        </w:rPr>
        <w:br/>
        <w:t>par M</w:t>
      </w:r>
      <w:r w:rsidR="00415FA3">
        <w:rPr>
          <w:color w:val="000000" w:themeColor="text1"/>
        </w:rPr>
        <w:t>onsieur Eric PAUGET</w:t>
      </w:r>
      <w:r w:rsidRPr="00A437F4">
        <w:rPr>
          <w:color w:val="000000" w:themeColor="text1"/>
        </w:rPr>
        <w:t>,</w:t>
      </w:r>
    </w:p>
    <w:p w14:paraId="04387F9F" w14:textId="77777777" w:rsidR="009C26E2" w:rsidRPr="00A437F4" w:rsidRDefault="009C26E2" w:rsidP="009C26E2">
      <w:pPr>
        <w:pStyle w:val="NormalWeb"/>
        <w:shd w:val="clear" w:color="auto" w:fill="FFFFFF"/>
        <w:spacing w:before="0" w:beforeAutospacing="0" w:after="150" w:afterAutospacing="0"/>
        <w:jc w:val="center"/>
        <w:rPr>
          <w:color w:val="000000" w:themeColor="text1"/>
        </w:rPr>
      </w:pPr>
    </w:p>
    <w:p w14:paraId="2F9880E6" w14:textId="77777777" w:rsidR="009C26E2" w:rsidRPr="00A437F4" w:rsidRDefault="009C26E2" w:rsidP="009C26E2">
      <w:pPr>
        <w:pStyle w:val="NormalWeb"/>
        <w:shd w:val="clear" w:color="auto" w:fill="FFFFFF"/>
        <w:spacing w:before="0" w:beforeAutospacing="0" w:after="150" w:afterAutospacing="0"/>
        <w:jc w:val="center"/>
        <w:rPr>
          <w:color w:val="000000" w:themeColor="text1"/>
        </w:rPr>
      </w:pPr>
    </w:p>
    <w:p w14:paraId="0895D25F" w14:textId="77777777" w:rsidR="009C26E2" w:rsidRPr="00A437F4" w:rsidRDefault="009C26E2" w:rsidP="009C26E2">
      <w:pPr>
        <w:pStyle w:val="NormalWeb"/>
        <w:shd w:val="clear" w:color="auto" w:fill="FFFFFF"/>
        <w:spacing w:before="0" w:beforeAutospacing="0" w:after="150" w:afterAutospacing="0"/>
        <w:jc w:val="center"/>
        <w:rPr>
          <w:color w:val="000000" w:themeColor="text1"/>
        </w:rPr>
      </w:pPr>
    </w:p>
    <w:p w14:paraId="76B43FAE" w14:textId="77777777" w:rsidR="009C26E2" w:rsidRPr="00A437F4" w:rsidRDefault="009C26E2" w:rsidP="009C26E2">
      <w:pPr>
        <w:pStyle w:val="NormalWeb"/>
        <w:shd w:val="clear" w:color="auto" w:fill="FFFFFF"/>
        <w:spacing w:before="0" w:beforeAutospacing="0" w:after="150" w:afterAutospacing="0"/>
        <w:jc w:val="center"/>
        <w:rPr>
          <w:color w:val="000000" w:themeColor="text1"/>
        </w:rPr>
      </w:pPr>
    </w:p>
    <w:p w14:paraId="7BFBE6C0" w14:textId="77777777" w:rsidR="009C26E2" w:rsidRPr="00A437F4" w:rsidRDefault="009C26E2" w:rsidP="009C26E2">
      <w:pPr>
        <w:pStyle w:val="NormalWeb"/>
        <w:shd w:val="clear" w:color="auto" w:fill="FFFFFF"/>
        <w:spacing w:before="0" w:beforeAutospacing="0" w:after="150" w:afterAutospacing="0"/>
        <w:jc w:val="center"/>
        <w:rPr>
          <w:color w:val="000000" w:themeColor="text1"/>
        </w:rPr>
      </w:pPr>
    </w:p>
    <w:p w14:paraId="09D04D5D" w14:textId="731A3115" w:rsidR="009C26E2" w:rsidRPr="00A437F4" w:rsidRDefault="009C26E2" w:rsidP="009C26E2">
      <w:pPr>
        <w:pStyle w:val="NormalWeb"/>
        <w:shd w:val="clear" w:color="auto" w:fill="FFFFFF"/>
        <w:spacing w:before="0" w:beforeAutospacing="0" w:after="150" w:afterAutospacing="0"/>
        <w:jc w:val="center"/>
        <w:rPr>
          <w:color w:val="000000" w:themeColor="text1"/>
        </w:rPr>
      </w:pPr>
      <w:r w:rsidRPr="00A437F4">
        <w:rPr>
          <w:color w:val="000000" w:themeColor="text1"/>
        </w:rPr>
        <w:t>député.</w:t>
      </w:r>
    </w:p>
    <w:p w14:paraId="173494C5" w14:textId="1E9B39B1" w:rsidR="009C26E2" w:rsidRPr="00A437F4" w:rsidRDefault="009C26E2" w:rsidP="009C26E2">
      <w:pPr>
        <w:pStyle w:val="NormalWeb"/>
        <w:shd w:val="clear" w:color="auto" w:fill="FFFFFF"/>
        <w:spacing w:before="0" w:beforeAutospacing="0" w:after="150" w:afterAutospacing="0"/>
        <w:jc w:val="center"/>
        <w:rPr>
          <w:rFonts w:ascii="Verdana" w:hAnsi="Verdana"/>
          <w:color w:val="000000" w:themeColor="text1"/>
          <w:sz w:val="19"/>
          <w:szCs w:val="19"/>
        </w:rPr>
      </w:pPr>
    </w:p>
    <w:p w14:paraId="4400FD63" w14:textId="7505A0BE" w:rsidR="00425FE1" w:rsidRPr="00A437F4" w:rsidRDefault="00425FE1" w:rsidP="009C26E2">
      <w:pPr>
        <w:pStyle w:val="NormalWeb"/>
        <w:shd w:val="clear" w:color="auto" w:fill="FFFFFF"/>
        <w:spacing w:before="0" w:beforeAutospacing="0" w:after="150" w:afterAutospacing="0"/>
        <w:jc w:val="center"/>
        <w:rPr>
          <w:rFonts w:ascii="Verdana" w:hAnsi="Verdana"/>
          <w:color w:val="000000" w:themeColor="text1"/>
          <w:sz w:val="19"/>
          <w:szCs w:val="19"/>
        </w:rPr>
      </w:pPr>
    </w:p>
    <w:p w14:paraId="73F49ACC" w14:textId="09E37508" w:rsidR="00425FE1" w:rsidRPr="00A437F4" w:rsidRDefault="00425FE1" w:rsidP="009C26E2">
      <w:pPr>
        <w:pStyle w:val="NormalWeb"/>
        <w:shd w:val="clear" w:color="auto" w:fill="FFFFFF"/>
        <w:spacing w:before="0" w:beforeAutospacing="0" w:after="150" w:afterAutospacing="0"/>
        <w:jc w:val="center"/>
        <w:rPr>
          <w:rFonts w:ascii="Verdana" w:hAnsi="Verdana"/>
          <w:color w:val="000000" w:themeColor="text1"/>
          <w:sz w:val="19"/>
          <w:szCs w:val="19"/>
        </w:rPr>
      </w:pPr>
    </w:p>
    <w:p w14:paraId="760D5D30" w14:textId="77777777" w:rsidR="00425FE1" w:rsidRPr="00A437F4" w:rsidRDefault="00425FE1" w:rsidP="009C26E2">
      <w:pPr>
        <w:pStyle w:val="NormalWeb"/>
        <w:shd w:val="clear" w:color="auto" w:fill="FFFFFF"/>
        <w:spacing w:before="0" w:beforeAutospacing="0" w:after="150" w:afterAutospacing="0"/>
        <w:jc w:val="center"/>
        <w:rPr>
          <w:rFonts w:ascii="Verdana" w:hAnsi="Verdana"/>
          <w:color w:val="000000" w:themeColor="text1"/>
          <w:sz w:val="19"/>
          <w:szCs w:val="19"/>
        </w:rPr>
      </w:pPr>
    </w:p>
    <w:p w14:paraId="21C94107" w14:textId="77777777" w:rsidR="000E3F1E" w:rsidRPr="00A437F4" w:rsidRDefault="000E3F1E" w:rsidP="000E3F1E">
      <w:pPr>
        <w:spacing w:after="40"/>
        <w:jc w:val="center"/>
        <w:rPr>
          <w:rFonts w:ascii="Times New Roman" w:hAnsi="Times New Roman" w:cs="Times New Roman"/>
          <w:b/>
          <w:bCs/>
          <w:color w:val="000000" w:themeColor="text1"/>
          <w:sz w:val="24"/>
          <w:szCs w:val="24"/>
          <w:shd w:val="clear" w:color="auto" w:fill="FFFFFF"/>
        </w:rPr>
      </w:pPr>
      <w:r w:rsidRPr="00A437F4">
        <w:rPr>
          <w:rFonts w:ascii="Times New Roman" w:hAnsi="Times New Roman" w:cs="Times New Roman"/>
          <w:b/>
          <w:bCs/>
          <w:color w:val="000000" w:themeColor="text1"/>
          <w:sz w:val="24"/>
          <w:szCs w:val="24"/>
          <w:shd w:val="clear" w:color="auto" w:fill="FFFFFF"/>
        </w:rPr>
        <w:lastRenderedPageBreak/>
        <w:t>EXPOSE DES MOTIFS</w:t>
      </w:r>
    </w:p>
    <w:p w14:paraId="40D0621D" w14:textId="77777777" w:rsidR="000E3F1E" w:rsidRPr="00A437F4" w:rsidRDefault="000E3F1E" w:rsidP="000E3F1E">
      <w:pPr>
        <w:spacing w:after="40"/>
        <w:jc w:val="center"/>
        <w:rPr>
          <w:rFonts w:ascii="Times New Roman" w:hAnsi="Times New Roman" w:cs="Times New Roman"/>
          <w:b/>
          <w:bCs/>
          <w:color w:val="000000" w:themeColor="text1"/>
          <w:sz w:val="20"/>
          <w:szCs w:val="20"/>
          <w:shd w:val="clear" w:color="auto" w:fill="FFFFFF"/>
        </w:rPr>
      </w:pPr>
    </w:p>
    <w:p w14:paraId="1550D1B2" w14:textId="77777777" w:rsidR="000E3F1E" w:rsidRDefault="000E3F1E" w:rsidP="000E3F1E">
      <w:pPr>
        <w:pStyle w:val="Standard"/>
        <w:rPr>
          <w:rFonts w:ascii="Times New Roman" w:hAnsi="Times New Roman" w:cs="Times New Roman"/>
          <w:color w:val="000000" w:themeColor="text1"/>
        </w:rPr>
      </w:pPr>
    </w:p>
    <w:p w14:paraId="5889675D" w14:textId="77777777" w:rsidR="000E3F1E" w:rsidRDefault="000E3F1E" w:rsidP="000E3F1E">
      <w:pPr>
        <w:pStyle w:val="Standard"/>
        <w:rPr>
          <w:rFonts w:ascii="Times New Roman" w:hAnsi="Times New Roman" w:cs="Times New Roman"/>
          <w:color w:val="000000" w:themeColor="text1"/>
        </w:rPr>
      </w:pPr>
    </w:p>
    <w:p w14:paraId="2A4F427D" w14:textId="77777777" w:rsidR="000E3F1E" w:rsidRPr="00A437F4" w:rsidRDefault="000E3F1E" w:rsidP="000E3F1E">
      <w:pPr>
        <w:pStyle w:val="Standard"/>
        <w:rPr>
          <w:rFonts w:ascii="Times New Roman" w:hAnsi="Times New Roman" w:cs="Times New Roman"/>
          <w:color w:val="000000" w:themeColor="text1"/>
        </w:rPr>
      </w:pPr>
      <w:r w:rsidRPr="00A437F4">
        <w:rPr>
          <w:rFonts w:ascii="Times New Roman" w:hAnsi="Times New Roman" w:cs="Times New Roman"/>
          <w:color w:val="000000" w:themeColor="text1"/>
        </w:rPr>
        <w:t>MESDAMES, MESSIEURS,</w:t>
      </w:r>
    </w:p>
    <w:p w14:paraId="3DB677DF" w14:textId="77777777" w:rsidR="000E3F1E" w:rsidRPr="00A437F4" w:rsidRDefault="000E3F1E" w:rsidP="000E3F1E">
      <w:pPr>
        <w:pStyle w:val="Standard"/>
        <w:rPr>
          <w:rFonts w:ascii="Times New Roman" w:hAnsi="Times New Roman" w:cs="Times New Roman"/>
          <w:color w:val="000000" w:themeColor="text1"/>
        </w:rPr>
      </w:pPr>
    </w:p>
    <w:p w14:paraId="1C218446" w14:textId="77777777" w:rsidR="000E3F1E"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ab/>
      </w:r>
    </w:p>
    <w:p w14:paraId="4CDC383D" w14:textId="77777777" w:rsidR="000E3F1E" w:rsidRPr="00A437F4" w:rsidRDefault="000E3F1E" w:rsidP="000E3F1E">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437F4">
        <w:rPr>
          <w:rFonts w:ascii="Times New Roman" w:hAnsi="Times New Roman" w:cs="Times New Roman"/>
          <w:color w:val="000000" w:themeColor="text1"/>
          <w:sz w:val="24"/>
          <w:szCs w:val="24"/>
        </w:rPr>
        <w:t xml:space="preserve">L’endométriose est une  maladie gynécologique chronique qui touche plus d’une femme sur dix dans notre pays, et qui concerne potentiellement, toutes les femmes réglées. </w:t>
      </w:r>
    </w:p>
    <w:p w14:paraId="37664896" w14:textId="77777777"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Pourtant, des professionnels de la médecine au grand public, cette affection souffre encore d’un trop grand manque de reconnaissance, alors même que </w:t>
      </w:r>
      <w:r>
        <w:rPr>
          <w:rFonts w:ascii="Times New Roman" w:hAnsi="Times New Roman" w:cs="Times New Roman"/>
          <w:color w:val="000000" w:themeColor="text1"/>
          <w:sz w:val="24"/>
          <w:szCs w:val="24"/>
        </w:rPr>
        <w:t>c</w:t>
      </w:r>
      <w:r w:rsidRPr="00A437F4">
        <w:rPr>
          <w:rFonts w:ascii="Times New Roman" w:hAnsi="Times New Roman" w:cs="Times New Roman"/>
          <w:color w:val="000000" w:themeColor="text1"/>
          <w:sz w:val="24"/>
          <w:szCs w:val="24"/>
        </w:rPr>
        <w:t xml:space="preserve">es conséquences sont désastreuses pour de nombreuses familles. </w:t>
      </w:r>
    </w:p>
    <w:p w14:paraId="69FB86D2" w14:textId="263D97F1"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Silencieuse, cette maladie se traduit par le développement d’un tissu </w:t>
      </w:r>
      <w:r w:rsidR="00A82679">
        <w:rPr>
          <w:rFonts w:ascii="Times New Roman" w:hAnsi="Times New Roman" w:cs="Times New Roman"/>
          <w:color w:val="000000" w:themeColor="text1"/>
          <w:sz w:val="24"/>
          <w:szCs w:val="24"/>
        </w:rPr>
        <w:t xml:space="preserve">semblable </w:t>
      </w:r>
      <w:r w:rsidR="00040FE2">
        <w:rPr>
          <w:rFonts w:ascii="Times New Roman" w:hAnsi="Times New Roman" w:cs="Times New Roman"/>
          <w:color w:val="000000" w:themeColor="text1"/>
          <w:sz w:val="24"/>
          <w:szCs w:val="24"/>
        </w:rPr>
        <w:t>à l’endomètre en dehors de la cavité utérine.</w:t>
      </w:r>
      <w:r w:rsidR="00A82679">
        <w:rPr>
          <w:rFonts w:ascii="Times New Roman" w:hAnsi="Times New Roman" w:cs="Times New Roman"/>
          <w:color w:val="000000" w:themeColor="text1"/>
          <w:sz w:val="24"/>
          <w:szCs w:val="24"/>
        </w:rPr>
        <w:t xml:space="preserve"> A</w:t>
      </w:r>
      <w:r w:rsidRPr="00A437F4">
        <w:rPr>
          <w:rFonts w:ascii="Times New Roman" w:hAnsi="Times New Roman" w:cs="Times New Roman"/>
          <w:color w:val="000000" w:themeColor="text1"/>
          <w:sz w:val="24"/>
          <w:szCs w:val="24"/>
        </w:rPr>
        <w:t xml:space="preserve"> chaque cycle menstruel,</w:t>
      </w:r>
      <w:r w:rsidR="00A82679">
        <w:rPr>
          <w:rFonts w:ascii="Times New Roman" w:hAnsi="Times New Roman" w:cs="Times New Roman"/>
          <w:color w:val="000000" w:themeColor="text1"/>
          <w:sz w:val="24"/>
          <w:szCs w:val="24"/>
        </w:rPr>
        <w:t xml:space="preserve"> ces cellules réagissent aux hormones et se mettent à saigner entrainant de vives douleurs qui peuvent se révéler particulièrement invalidantes. </w:t>
      </w:r>
      <w:r w:rsidR="00040FE2">
        <w:rPr>
          <w:rFonts w:ascii="Times New Roman" w:hAnsi="Times New Roman" w:cs="Times New Roman"/>
          <w:color w:val="000000" w:themeColor="text1"/>
          <w:sz w:val="24"/>
          <w:szCs w:val="24"/>
        </w:rPr>
        <w:t>De plus, le développement de c</w:t>
      </w:r>
      <w:r w:rsidR="00A82679">
        <w:rPr>
          <w:rFonts w:ascii="Times New Roman" w:hAnsi="Times New Roman" w:cs="Times New Roman"/>
          <w:color w:val="000000" w:themeColor="text1"/>
          <w:sz w:val="24"/>
          <w:szCs w:val="24"/>
        </w:rPr>
        <w:t xml:space="preserve">ertaines formes </w:t>
      </w:r>
      <w:r w:rsidR="00040FE2">
        <w:rPr>
          <w:rFonts w:ascii="Times New Roman" w:hAnsi="Times New Roman" w:cs="Times New Roman"/>
          <w:color w:val="000000" w:themeColor="text1"/>
          <w:sz w:val="24"/>
          <w:szCs w:val="24"/>
        </w:rPr>
        <w:t xml:space="preserve">graves </w:t>
      </w:r>
      <w:r w:rsidR="00A82679">
        <w:rPr>
          <w:rFonts w:ascii="Times New Roman" w:hAnsi="Times New Roman" w:cs="Times New Roman"/>
          <w:color w:val="000000" w:themeColor="text1"/>
          <w:sz w:val="24"/>
          <w:szCs w:val="24"/>
        </w:rPr>
        <w:t xml:space="preserve">de </w:t>
      </w:r>
      <w:r w:rsidR="00040FE2">
        <w:rPr>
          <w:rFonts w:ascii="Times New Roman" w:hAnsi="Times New Roman" w:cs="Times New Roman"/>
          <w:color w:val="000000" w:themeColor="text1"/>
          <w:sz w:val="24"/>
          <w:szCs w:val="24"/>
        </w:rPr>
        <w:t xml:space="preserve">l’endométriose </w:t>
      </w:r>
      <w:r w:rsidRPr="00A437F4">
        <w:rPr>
          <w:rFonts w:ascii="Times New Roman" w:hAnsi="Times New Roman" w:cs="Times New Roman"/>
          <w:color w:val="000000" w:themeColor="text1"/>
          <w:sz w:val="24"/>
          <w:szCs w:val="24"/>
        </w:rPr>
        <w:t xml:space="preserve">peuvent  </w:t>
      </w:r>
      <w:r w:rsidR="00040FE2">
        <w:rPr>
          <w:rFonts w:ascii="Times New Roman" w:hAnsi="Times New Roman" w:cs="Times New Roman"/>
          <w:color w:val="000000" w:themeColor="text1"/>
          <w:sz w:val="24"/>
          <w:szCs w:val="24"/>
        </w:rPr>
        <w:t xml:space="preserve">aussi </w:t>
      </w:r>
      <w:r w:rsidRPr="00A437F4">
        <w:rPr>
          <w:rFonts w:ascii="Times New Roman" w:hAnsi="Times New Roman" w:cs="Times New Roman"/>
          <w:color w:val="000000" w:themeColor="text1"/>
          <w:sz w:val="24"/>
          <w:szCs w:val="24"/>
        </w:rPr>
        <w:t>gravement menacer la fertilité des femmes.</w:t>
      </w:r>
    </w:p>
    <w:p w14:paraId="71700871" w14:textId="690634F7" w:rsidR="000E3F1E" w:rsidRPr="00A437F4" w:rsidRDefault="00040FE2" w:rsidP="000E3F1E">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l’évidence,</w:t>
      </w:r>
      <w:r w:rsidR="000E3F1E" w:rsidRPr="00A437F4">
        <w:rPr>
          <w:rFonts w:ascii="Times New Roman" w:hAnsi="Times New Roman" w:cs="Times New Roman"/>
          <w:color w:val="000000" w:themeColor="text1"/>
          <w:sz w:val="24"/>
          <w:szCs w:val="24"/>
        </w:rPr>
        <w:t xml:space="preserve"> cette maladie mal connue qui se développe à des âges et en des lieux multiples, rend son diagnostic d’autant plus complexe. </w:t>
      </w:r>
    </w:p>
    <w:p w14:paraId="7200D54D" w14:textId="77777777"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En effet, il n’existe toujours pas de techniques permettant de dépister cette maladie de façon générale. De l’échographie pelvienne à l’IRM, il reste difficile de détecter une endométriose sans actions invasives, et bien souvent, la chirurgie reste le seul traitement permettant l’élimination des lésions associées à cette maladie. </w:t>
      </w:r>
    </w:p>
    <w:p w14:paraId="2503EDB9" w14:textId="0091D353"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De plus, le diagnostic tardif de cette maladie intervenant avec en moyenne avec sept années de retard, révèle bien souvent des dégâts importants qui peuvent s’étendre à tous les organes</w:t>
      </w:r>
      <w:r w:rsidR="00A82679">
        <w:rPr>
          <w:rFonts w:ascii="Times New Roman" w:hAnsi="Times New Roman" w:cs="Times New Roman"/>
          <w:color w:val="000000" w:themeColor="text1"/>
          <w:sz w:val="24"/>
          <w:szCs w:val="24"/>
        </w:rPr>
        <w:t xml:space="preserve"> urinaires</w:t>
      </w:r>
      <w:r w:rsidRPr="00A437F4">
        <w:rPr>
          <w:rFonts w:ascii="Times New Roman" w:hAnsi="Times New Roman" w:cs="Times New Roman"/>
          <w:color w:val="000000" w:themeColor="text1"/>
          <w:sz w:val="24"/>
          <w:szCs w:val="24"/>
        </w:rPr>
        <w:t xml:space="preserve">, </w:t>
      </w:r>
      <w:r w:rsidR="00A82679">
        <w:rPr>
          <w:rFonts w:ascii="Times New Roman" w:hAnsi="Times New Roman" w:cs="Times New Roman"/>
          <w:color w:val="000000" w:themeColor="text1"/>
          <w:sz w:val="24"/>
          <w:szCs w:val="24"/>
        </w:rPr>
        <w:t xml:space="preserve">diaphragmatiques </w:t>
      </w:r>
      <w:r w:rsidRPr="00A437F4">
        <w:rPr>
          <w:rFonts w:ascii="Times New Roman" w:hAnsi="Times New Roman" w:cs="Times New Roman"/>
          <w:color w:val="000000" w:themeColor="text1"/>
          <w:sz w:val="24"/>
          <w:szCs w:val="24"/>
        </w:rPr>
        <w:t xml:space="preserve">voir même </w:t>
      </w:r>
      <w:r w:rsidR="00A82679">
        <w:rPr>
          <w:rFonts w:ascii="Times New Roman" w:hAnsi="Times New Roman" w:cs="Times New Roman"/>
          <w:color w:val="000000" w:themeColor="text1"/>
          <w:sz w:val="24"/>
          <w:szCs w:val="24"/>
        </w:rPr>
        <w:t>thoraciques</w:t>
      </w:r>
      <w:r w:rsidRPr="00A437F4">
        <w:rPr>
          <w:rFonts w:ascii="Times New Roman" w:hAnsi="Times New Roman" w:cs="Times New Roman"/>
          <w:color w:val="000000" w:themeColor="text1"/>
          <w:sz w:val="24"/>
          <w:szCs w:val="24"/>
        </w:rPr>
        <w:t xml:space="preserve">. </w:t>
      </w:r>
    </w:p>
    <w:p w14:paraId="22C3AAB3" w14:textId="0BC7F7E6"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Pourtant, des douleurs intenses ainsi que des épisodes de fatigue chronique important</w:t>
      </w:r>
      <w:r>
        <w:rPr>
          <w:rFonts w:ascii="Times New Roman" w:hAnsi="Times New Roman" w:cs="Times New Roman"/>
          <w:color w:val="000000" w:themeColor="text1"/>
          <w:sz w:val="24"/>
          <w:szCs w:val="24"/>
        </w:rPr>
        <w:t>s</w:t>
      </w:r>
      <w:r w:rsidRPr="00A437F4">
        <w:rPr>
          <w:rFonts w:ascii="Times New Roman" w:hAnsi="Times New Roman" w:cs="Times New Roman"/>
          <w:color w:val="000000" w:themeColor="text1"/>
          <w:sz w:val="24"/>
          <w:szCs w:val="24"/>
        </w:rPr>
        <w:t xml:space="preserve"> lors des menstruations, et ce dès le plus jeune âge, constituent souvent des signaux </w:t>
      </w:r>
      <w:r w:rsidR="00A82679">
        <w:rPr>
          <w:rFonts w:ascii="Times New Roman" w:hAnsi="Times New Roman" w:cs="Times New Roman"/>
          <w:color w:val="000000" w:themeColor="text1"/>
          <w:sz w:val="24"/>
          <w:szCs w:val="24"/>
        </w:rPr>
        <w:t>d’alerte</w:t>
      </w:r>
      <w:r w:rsidRPr="00A437F4">
        <w:rPr>
          <w:rFonts w:ascii="Times New Roman" w:hAnsi="Times New Roman" w:cs="Times New Roman"/>
          <w:color w:val="000000" w:themeColor="text1"/>
          <w:sz w:val="24"/>
          <w:szCs w:val="24"/>
        </w:rPr>
        <w:t xml:space="preserve"> de cette maladie auxquels nous ne prêtons pas assez attention, alors que ces souffrances handicapent lourdement les femmes atteintes par cette pathologie incurable.</w:t>
      </w:r>
    </w:p>
    <w:p w14:paraId="47785C5C" w14:textId="77777777"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Aujourd’hui encore, trop peu de femmes connaissent l’existence de cette maladie, et chaque année supplémentaire qu’elles passent dans cet état d’ignorance, aggrave un peu plus les conséquences d’une endométriose qui menace durablement leur santé. </w:t>
      </w:r>
    </w:p>
    <w:p w14:paraId="6F7C0C43" w14:textId="77777777"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Trop souvent encore, l’insouciance des jeunes filles condamne au doute des femmes qui révèle finalement le drame de l’infertilité.  </w:t>
      </w:r>
    </w:p>
    <w:p w14:paraId="04EF5430" w14:textId="77777777" w:rsidR="000E3F1E" w:rsidRPr="00A437F4" w:rsidRDefault="000E3F1E" w:rsidP="000E3F1E">
      <w:pPr>
        <w:spacing w:line="276"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Or, l</w:t>
      </w:r>
      <w:r w:rsidRPr="00A437F4">
        <w:rPr>
          <w:rFonts w:ascii="Times New Roman" w:hAnsi="Times New Roman" w:cs="Times New Roman"/>
          <w:color w:val="000000" w:themeColor="text1"/>
          <w:sz w:val="24"/>
          <w:szCs w:val="24"/>
          <w:shd w:val="clear" w:color="auto" w:fill="FFFFFF"/>
        </w:rPr>
        <w:t xml:space="preserve">a </w:t>
      </w:r>
      <w:r w:rsidRPr="00A437F4">
        <w:rPr>
          <w:rFonts w:ascii="Times New Roman" w:hAnsi="Times New Roman" w:cs="Times New Roman"/>
          <w:color w:val="000000" w:themeColor="text1"/>
          <w:sz w:val="24"/>
          <w:szCs w:val="24"/>
        </w:rPr>
        <w:t>mise en place de campagnes de prévention de l’endométriose, conduites sur le modèle du papillomavirus dans les années 1990, pourrait permettre de mieux sensibiliser et d’accompagner durablement les femmes face aux dangers de cette maladie.</w:t>
      </w:r>
    </w:p>
    <w:p w14:paraId="6C7D7400" w14:textId="77777777" w:rsidR="000E3F1E" w:rsidRPr="00A437F4" w:rsidRDefault="000E3F1E" w:rsidP="000E3F1E">
      <w:pPr>
        <w:spacing w:after="0" w:line="240"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lastRenderedPageBreak/>
        <w:t xml:space="preserve">Vous l’avez compris, le besoin de connaissance et de reconnaissance de l’endométriose sont immenses, car par-delà l’impérieuse nécessité de sauvegarder un droit à l’enfant garant de l’épanouissement maternel, cette maladie ronge des couples et compromet des projets de familles. </w:t>
      </w:r>
    </w:p>
    <w:p w14:paraId="23D8178B" w14:textId="77777777" w:rsidR="000E3F1E" w:rsidRPr="00A437F4" w:rsidRDefault="000E3F1E" w:rsidP="000E3F1E">
      <w:pPr>
        <w:spacing w:after="0" w:line="240"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 </w:t>
      </w:r>
    </w:p>
    <w:p w14:paraId="340BE692" w14:textId="77777777" w:rsidR="000E3F1E" w:rsidRPr="00A437F4" w:rsidRDefault="000E3F1E" w:rsidP="000E3F1E">
      <w:pPr>
        <w:spacing w:after="0" w:line="240"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Aussi </w:t>
      </w:r>
      <w:r w:rsidRPr="00A437F4">
        <w:rPr>
          <w:rFonts w:ascii="Times New Roman" w:hAnsi="Times New Roman" w:cs="Times New Roman"/>
          <w:color w:val="000000" w:themeColor="text1"/>
          <w:sz w:val="24"/>
          <w:szCs w:val="24"/>
          <w:shd w:val="clear" w:color="auto" w:fill="FFFFFF"/>
        </w:rPr>
        <w:t>la véritable reconnaissance de cette maladie permettrait</w:t>
      </w:r>
      <w:r w:rsidRPr="00A437F4">
        <w:rPr>
          <w:rFonts w:ascii="Times New Roman" w:hAnsi="Times New Roman" w:cs="Times New Roman"/>
          <w:color w:val="000000" w:themeColor="text1"/>
          <w:sz w:val="24"/>
          <w:szCs w:val="24"/>
        </w:rPr>
        <w:t xml:space="preserve"> de lutter plus efficacement contre ces intenses douleurs que subissent tant de jeunes filles durant leur puberté, mais également </w:t>
      </w:r>
      <w:r w:rsidRPr="00A437F4">
        <w:rPr>
          <w:rFonts w:ascii="Times New Roman" w:hAnsi="Times New Roman" w:cs="Times New Roman"/>
          <w:color w:val="000000" w:themeColor="text1"/>
          <w:sz w:val="24"/>
          <w:szCs w:val="24"/>
          <w:shd w:val="clear" w:color="auto" w:fill="FFFFFF"/>
        </w:rPr>
        <w:t>favoriser l’émergence de nouvelles solutions de dépistage moins invasives</w:t>
      </w:r>
      <w:r w:rsidRPr="00A437F4">
        <w:rPr>
          <w:rFonts w:ascii="Times New Roman" w:hAnsi="Times New Roman" w:cs="Times New Roman"/>
          <w:color w:val="000000" w:themeColor="text1"/>
          <w:sz w:val="24"/>
          <w:szCs w:val="24"/>
        </w:rPr>
        <w:t xml:space="preserve">. </w:t>
      </w:r>
    </w:p>
    <w:p w14:paraId="479935EC" w14:textId="77777777" w:rsidR="000E3F1E" w:rsidRPr="00A437F4" w:rsidRDefault="000E3F1E" w:rsidP="000E3F1E">
      <w:pPr>
        <w:spacing w:after="0" w:line="240" w:lineRule="auto"/>
        <w:jc w:val="both"/>
        <w:rPr>
          <w:rFonts w:ascii="Times New Roman" w:hAnsi="Times New Roman" w:cs="Times New Roman"/>
          <w:color w:val="000000" w:themeColor="text1"/>
          <w:sz w:val="24"/>
          <w:szCs w:val="24"/>
        </w:rPr>
      </w:pPr>
    </w:p>
    <w:p w14:paraId="5BB67221" w14:textId="77777777" w:rsidR="000E3F1E" w:rsidRDefault="000E3F1E" w:rsidP="000E3F1E">
      <w:pPr>
        <w:spacing w:after="0" w:line="240" w:lineRule="auto"/>
        <w:jc w:val="both"/>
        <w:rPr>
          <w:rFonts w:ascii="Times New Roman" w:hAnsi="Times New Roman" w:cs="Times New Roman"/>
          <w:color w:val="000000" w:themeColor="text1"/>
          <w:sz w:val="24"/>
          <w:szCs w:val="24"/>
        </w:rPr>
      </w:pPr>
      <w:r w:rsidRPr="00A437F4">
        <w:rPr>
          <w:rFonts w:ascii="Times New Roman" w:hAnsi="Times New Roman" w:cs="Times New Roman"/>
          <w:color w:val="000000" w:themeColor="text1"/>
          <w:sz w:val="24"/>
          <w:szCs w:val="24"/>
        </w:rPr>
        <w:t xml:space="preserve">Tel est l’objet de la présente proposition de loi qui instaure la mise en place d’un diagnostic préventif, obligatoire et gratuit de sensibilisation et de prévention des risques de l’endométriose pour les jeunes femmes âgées de 15 à 21 ans permettant d’engager les soins et </w:t>
      </w:r>
      <w:r w:rsidRPr="00A437F4">
        <w:rPr>
          <w:rFonts w:ascii="Times New Roman" w:hAnsi="Times New Roman" w:cs="Times New Roman"/>
          <w:color w:val="000000" w:themeColor="text1"/>
          <w:sz w:val="24"/>
          <w:szCs w:val="24"/>
          <w:shd w:val="clear" w:color="auto" w:fill="FFFFFF"/>
        </w:rPr>
        <w:t>les réponses hormonales qui stabiliseront les lésions de l’endométriose, mais également d’</w:t>
      </w:r>
      <w:r w:rsidRPr="00A437F4">
        <w:rPr>
          <w:rFonts w:ascii="Times New Roman" w:hAnsi="Times New Roman" w:cs="Times New Roman"/>
          <w:color w:val="000000" w:themeColor="text1"/>
          <w:sz w:val="24"/>
          <w:szCs w:val="24"/>
        </w:rPr>
        <w:t xml:space="preserve">accompagner financièrement les soins obligatoires et le remboursement des contraceptifs permettant de limiter l’endométriose. </w:t>
      </w:r>
    </w:p>
    <w:p w14:paraId="01453C33" w14:textId="77777777" w:rsidR="000E3F1E" w:rsidRPr="00824C8C"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b/>
          <w:bCs/>
          <w:color w:val="000000" w:themeColor="text1"/>
          <w:sz w:val="24"/>
          <w:szCs w:val="24"/>
          <w:bdr w:val="none" w:sz="0" w:space="0" w:color="auto" w:frame="1"/>
          <w:lang w:eastAsia="fr-FR"/>
        </w:rPr>
      </w:pPr>
    </w:p>
    <w:p w14:paraId="58232CB2"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r w:rsidRPr="00D9363E">
        <w:rPr>
          <w:rFonts w:ascii="Times New Roman" w:eastAsia="Times New Roman" w:hAnsi="Times New Roman" w:cs="Times New Roman"/>
          <w:color w:val="000000" w:themeColor="text1"/>
          <w:sz w:val="24"/>
          <w:szCs w:val="24"/>
          <w:bdr w:val="none" w:sz="0" w:space="0" w:color="auto" w:frame="1"/>
          <w:lang w:eastAsia="fr-FR"/>
        </w:rPr>
        <w:t xml:space="preserve">In fine, c’est par son action préventive, que ce texte propose de lutter directement contre l’explosion des dépenses de santé liées aux conséquences d’un dépistage tardif de l’endométriose, lequel intervient avec 7 années de retard en moyenne. De soins en traitements en passant par des recours massifs à la FIV, les conséquences dramatique de ce retard de diagnostic, pourrait coûter plus de 750 millions d’euros par an à la société française, soit 18 397 € par femme, si l’on s’appuie sur les résultats australiens de l’étude publiée par les chercheurs de l’Université occidentale de Sidney en date du 10  octobre 2019.  </w:t>
      </w:r>
    </w:p>
    <w:p w14:paraId="58767D09"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54A79570"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r w:rsidRPr="00D9363E">
        <w:rPr>
          <w:rFonts w:ascii="Times New Roman" w:hAnsi="Times New Roman" w:cs="Times New Roman"/>
          <w:color w:val="000000" w:themeColor="text1"/>
          <w:sz w:val="24"/>
          <w:szCs w:val="24"/>
        </w:rPr>
        <w:t xml:space="preserve">Pourtant, l’instauration d’un parcours de sensibilisation et de prévention précoce présenté par ce texte, </w:t>
      </w:r>
      <w:r w:rsidRPr="00D9363E">
        <w:rPr>
          <w:rFonts w:ascii="Times New Roman" w:eastAsia="Times New Roman" w:hAnsi="Times New Roman" w:cs="Times New Roman"/>
          <w:color w:val="000000" w:themeColor="text1"/>
          <w:sz w:val="24"/>
          <w:szCs w:val="24"/>
          <w:bdr w:val="none" w:sz="0" w:space="0" w:color="auto" w:frame="1"/>
          <w:lang w:eastAsia="fr-FR"/>
        </w:rPr>
        <w:t xml:space="preserve">dont le coût est estimé à environ 75 millions d’euros annuel, pourrait permettre de réduire drastiquement le risque de développer des formes graves d’endométriose et de mieux protéger la santé des femmes de demain, tout en divisant par dix le coût de la prise en charge de cette pathologie.  </w:t>
      </w:r>
    </w:p>
    <w:p w14:paraId="3C1CDB5B"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3A17FA97"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r w:rsidRPr="00D9363E">
        <w:rPr>
          <w:rFonts w:ascii="Times New Roman" w:eastAsia="Times New Roman" w:hAnsi="Times New Roman" w:cs="Times New Roman"/>
          <w:color w:val="000000" w:themeColor="text1"/>
          <w:sz w:val="24"/>
          <w:szCs w:val="24"/>
          <w:bdr w:val="none" w:sz="0" w:space="0" w:color="auto" w:frame="1"/>
          <w:lang w:eastAsia="fr-FR"/>
        </w:rPr>
        <w:t>Cette estimation de 75 millions, intègre 40 millions d’euros de prise en charge totale résultant des 400 000 consultations gynécologiques des populations cibles annuellement inscrites dans la pyramide des âges de l’INSEE, si l’on considère que le coût moyen de ces consultations, qui seront réalisées durant la quinzième et la vingt-et-unième années, sont de 50 euros.</w:t>
      </w:r>
    </w:p>
    <w:p w14:paraId="44F5461A"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108F25B8"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fr-FR"/>
        </w:rPr>
      </w:pPr>
      <w:r w:rsidRPr="00D9363E">
        <w:rPr>
          <w:rFonts w:ascii="Times New Roman" w:eastAsia="Times New Roman" w:hAnsi="Times New Roman" w:cs="Times New Roman"/>
          <w:color w:val="000000" w:themeColor="text1"/>
          <w:sz w:val="24"/>
          <w:szCs w:val="24"/>
          <w:bdr w:val="none" w:sz="0" w:space="0" w:color="auto" w:frame="1"/>
          <w:lang w:eastAsia="fr-FR"/>
        </w:rPr>
        <w:t xml:space="preserve">Par ailleurs, l’estimation financière de cette proposition de loi intègre également, le coût de la prise en charge totale des 40 000 femmes devant recourir à des </w:t>
      </w:r>
      <w:r w:rsidRPr="00D9363E">
        <w:rPr>
          <w:rFonts w:ascii="Times New Roman" w:eastAsia="Times New Roman" w:hAnsi="Times New Roman" w:cs="Times New Roman"/>
          <w:color w:val="000000" w:themeColor="text1"/>
          <w:sz w:val="24"/>
          <w:szCs w:val="24"/>
          <w:lang w:eastAsia="fr-FR"/>
        </w:rPr>
        <w:t xml:space="preserve">traitements contraceptifs faisant l’objet d’une prescription médicale visant à lutter contre l’endométriose, évalué à  7,2 millions d’euros par an. </w:t>
      </w:r>
    </w:p>
    <w:p w14:paraId="5EA6C840"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fr-FR"/>
        </w:rPr>
      </w:pPr>
    </w:p>
    <w:p w14:paraId="3F5D393C"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fr-FR"/>
        </w:rPr>
      </w:pPr>
      <w:r w:rsidRPr="00D9363E">
        <w:rPr>
          <w:rFonts w:ascii="Times New Roman" w:eastAsia="Times New Roman" w:hAnsi="Times New Roman" w:cs="Times New Roman"/>
          <w:color w:val="000000" w:themeColor="text1"/>
          <w:sz w:val="24"/>
          <w:szCs w:val="24"/>
          <w:lang w:eastAsia="fr-FR"/>
        </w:rPr>
        <w:t>Enfin, ce texte intègre, durant une période de 12 mois suivant les dates des consultations obligatoires, 18 millions d’euros</w:t>
      </w:r>
      <w:r w:rsidRPr="00D9363E" w:rsidDel="005C6984">
        <w:rPr>
          <w:rFonts w:ascii="Times New Roman" w:eastAsia="Times New Roman" w:hAnsi="Times New Roman" w:cs="Times New Roman"/>
          <w:color w:val="000000" w:themeColor="text1"/>
          <w:sz w:val="24"/>
          <w:szCs w:val="24"/>
          <w:lang w:eastAsia="fr-FR"/>
        </w:rPr>
        <w:t xml:space="preserve"> </w:t>
      </w:r>
      <w:r w:rsidRPr="00D9363E">
        <w:rPr>
          <w:rFonts w:ascii="Times New Roman" w:eastAsia="Times New Roman" w:hAnsi="Times New Roman" w:cs="Times New Roman"/>
          <w:color w:val="000000" w:themeColor="text1"/>
          <w:sz w:val="24"/>
          <w:szCs w:val="24"/>
          <w:lang w:eastAsia="fr-FR"/>
        </w:rPr>
        <w:t>de prise en charge dédié aux 40 000 personnes de sexe féminin potentiellement concernées, par des besoins en</w:t>
      </w:r>
      <w:r w:rsidRPr="00D9363E">
        <w:rPr>
          <w:rFonts w:ascii="Times New Roman" w:hAnsi="Times New Roman" w:cs="Times New Roman"/>
          <w:sz w:val="24"/>
          <w:szCs w:val="24"/>
        </w:rPr>
        <w:t xml:space="preserve"> soins gynécologiques ou devant procéder à des investigations nécessaires au diagnostic et au traitement de l’endométriose.  </w:t>
      </w:r>
      <w:r w:rsidRPr="00D9363E">
        <w:rPr>
          <w:rFonts w:ascii="Times New Roman" w:eastAsia="Times New Roman" w:hAnsi="Times New Roman" w:cs="Times New Roman"/>
          <w:color w:val="000000" w:themeColor="text1"/>
          <w:sz w:val="24"/>
          <w:szCs w:val="24"/>
          <w:lang w:eastAsia="fr-FR"/>
        </w:rPr>
        <w:t xml:space="preserve"> </w:t>
      </w:r>
    </w:p>
    <w:p w14:paraId="7669818B"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fr-FR"/>
        </w:rPr>
      </w:pPr>
    </w:p>
    <w:p w14:paraId="489BAE07" w14:textId="77777777" w:rsidR="000E3F1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fr-FR"/>
        </w:rPr>
      </w:pPr>
      <w:r w:rsidRPr="00D9363E">
        <w:rPr>
          <w:rFonts w:ascii="Times New Roman" w:eastAsia="Times New Roman" w:hAnsi="Times New Roman" w:cs="Times New Roman"/>
          <w:color w:val="000000" w:themeColor="text1"/>
          <w:sz w:val="24"/>
          <w:szCs w:val="24"/>
          <w:lang w:eastAsia="fr-FR"/>
        </w:rPr>
        <w:t xml:space="preserve">In fine, outre l’avancée sociale sur la santé des femmes qui n’a pas de prix, la budgétisation de cette proposition de loi, évaluée à 75 millions d’euros, qui tient compte des seules dépenses qu’elles créée, ne comptabilise pas, les économies majeures que cette politique de prévention fera immédiatement économiser grâce aux diagnostics de contraception adaptés, ni la réduction des examens complexes  et invasifs sur le moyen terme et ni même la diminution des </w:t>
      </w:r>
      <w:r w:rsidRPr="00D9363E">
        <w:rPr>
          <w:rFonts w:ascii="Times New Roman" w:eastAsia="Times New Roman" w:hAnsi="Times New Roman" w:cs="Times New Roman"/>
          <w:color w:val="000000" w:themeColor="text1"/>
          <w:sz w:val="24"/>
          <w:szCs w:val="24"/>
          <w:lang w:eastAsia="fr-FR"/>
        </w:rPr>
        <w:lastRenderedPageBreak/>
        <w:t>interventions chirurgicales lourdes ou des fécondations in vitro qui se multiplient sur le long terme.</w:t>
      </w:r>
    </w:p>
    <w:p w14:paraId="17701830"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lang w:eastAsia="fr-FR"/>
        </w:rPr>
      </w:pPr>
      <w:r w:rsidRPr="00DA0EA0">
        <w:rPr>
          <w:rFonts w:ascii="Times New Roman" w:eastAsia="Times New Roman" w:hAnsi="Times New Roman" w:cs="Times New Roman"/>
          <w:b/>
          <w:bCs/>
          <w:color w:val="000000" w:themeColor="text1"/>
          <w:sz w:val="24"/>
          <w:szCs w:val="24"/>
          <w:bdr w:val="none" w:sz="0" w:space="0" w:color="auto" w:frame="1"/>
          <w:lang w:eastAsia="fr-FR"/>
        </w:rPr>
        <w:t>L’article premier</w:t>
      </w:r>
      <w:r w:rsidRPr="001D64CE">
        <w:rPr>
          <w:rFonts w:ascii="Times New Roman" w:eastAsia="Times New Roman" w:hAnsi="Times New Roman" w:cs="Times New Roman"/>
          <w:color w:val="000000" w:themeColor="text1"/>
          <w:sz w:val="24"/>
          <w:szCs w:val="24"/>
          <w:bdr w:val="none" w:sz="0" w:space="0" w:color="auto" w:frame="1"/>
          <w:lang w:eastAsia="fr-FR"/>
        </w:rPr>
        <w:t xml:space="preserve"> de ce texte,</w:t>
      </w:r>
      <w:r w:rsidRPr="007C3544">
        <w:rPr>
          <w:rFonts w:ascii="Times New Roman" w:eastAsia="Times New Roman" w:hAnsi="Times New Roman" w:cs="Times New Roman"/>
          <w:b/>
          <w:bCs/>
          <w:color w:val="000000" w:themeColor="text1"/>
          <w:sz w:val="24"/>
          <w:szCs w:val="24"/>
          <w:bdr w:val="none" w:sz="0" w:space="0" w:color="auto" w:frame="1"/>
          <w:lang w:eastAsia="fr-FR"/>
        </w:rPr>
        <w:t xml:space="preserve"> </w:t>
      </w:r>
      <w:r w:rsidRPr="001D64CE">
        <w:rPr>
          <w:rFonts w:ascii="Times New Roman" w:eastAsia="Times New Roman" w:hAnsi="Times New Roman" w:cs="Times New Roman"/>
          <w:color w:val="000000" w:themeColor="text1"/>
          <w:sz w:val="24"/>
          <w:szCs w:val="24"/>
          <w:bdr w:val="none" w:sz="0" w:space="0" w:color="auto" w:frame="1"/>
          <w:lang w:eastAsia="fr-FR"/>
        </w:rPr>
        <w:t xml:space="preserve">introduit </w:t>
      </w:r>
      <w:r w:rsidRPr="00A437F4">
        <w:rPr>
          <w:rFonts w:ascii="Times New Roman" w:eastAsia="Times New Roman" w:hAnsi="Times New Roman" w:cs="Times New Roman"/>
          <w:color w:val="000000" w:themeColor="text1"/>
          <w:sz w:val="24"/>
          <w:szCs w:val="24"/>
          <w:bdr w:val="none" w:sz="0" w:space="0" w:color="auto" w:frame="1"/>
          <w:lang w:eastAsia="fr-FR"/>
        </w:rPr>
        <w:t>au sein du code de la santé publique</w:t>
      </w:r>
      <w:r>
        <w:rPr>
          <w:rFonts w:ascii="Times New Roman" w:eastAsia="Times New Roman" w:hAnsi="Times New Roman" w:cs="Times New Roman"/>
          <w:color w:val="000000" w:themeColor="text1"/>
          <w:sz w:val="24"/>
          <w:szCs w:val="24"/>
          <w:bdr w:val="none" w:sz="0" w:space="0" w:color="auto" w:frame="1"/>
          <w:lang w:eastAsia="fr-FR"/>
        </w:rPr>
        <w:t xml:space="preserve"> </w:t>
      </w:r>
      <w:r w:rsidRPr="00A437F4">
        <w:rPr>
          <w:rFonts w:ascii="Times New Roman" w:eastAsia="Times New Roman" w:hAnsi="Times New Roman" w:cs="Times New Roman"/>
          <w:color w:val="000000" w:themeColor="text1"/>
          <w:sz w:val="24"/>
          <w:szCs w:val="24"/>
          <w:bdr w:val="none" w:sz="0" w:space="0" w:color="auto" w:frame="1"/>
          <w:lang w:eastAsia="fr-FR"/>
        </w:rPr>
        <w:t xml:space="preserve">une </w:t>
      </w:r>
      <w:r w:rsidRPr="00A437F4">
        <w:rPr>
          <w:rFonts w:ascii="Times New Roman" w:eastAsia="Times New Roman" w:hAnsi="Times New Roman" w:cs="Times New Roman"/>
          <w:color w:val="000000" w:themeColor="text1"/>
          <w:sz w:val="24"/>
          <w:szCs w:val="24"/>
          <w:lang w:eastAsia="fr-FR"/>
        </w:rPr>
        <w:t xml:space="preserve">consultation médicale gratuite et obligatoire de sensibilisation et de prévention des risques liés à </w:t>
      </w:r>
      <w:r w:rsidRPr="00D9363E">
        <w:rPr>
          <w:rFonts w:ascii="Times New Roman" w:eastAsia="Times New Roman" w:hAnsi="Times New Roman" w:cs="Times New Roman"/>
          <w:color w:val="000000" w:themeColor="text1"/>
          <w:sz w:val="24"/>
          <w:szCs w:val="24"/>
          <w:lang w:eastAsia="fr-FR"/>
        </w:rPr>
        <w:t xml:space="preserve">l’endométriose pour les jeunes filles âgées de quinze ans. Cette consultation, réputée remplie par l’inscription obligatoire de </w:t>
      </w:r>
      <w:r w:rsidRPr="00D9363E">
        <w:rPr>
          <w:rFonts w:ascii="Times New Roman" w:hAnsi="Times New Roman" w:cs="Times New Roman"/>
          <w:sz w:val="24"/>
          <w:szCs w:val="24"/>
          <w:lang w:eastAsia="ar-SA"/>
        </w:rPr>
        <w:t xml:space="preserve">la consultation de prévention des risques liés à l’endométriose </w:t>
      </w:r>
      <w:r w:rsidRPr="00D9363E">
        <w:rPr>
          <w:rFonts w:ascii="Times New Roman" w:eastAsia="Times New Roman" w:hAnsi="Times New Roman" w:cs="Times New Roman"/>
          <w:color w:val="000000" w:themeColor="text1"/>
          <w:sz w:val="24"/>
          <w:szCs w:val="24"/>
          <w:lang w:eastAsia="fr-FR"/>
        </w:rPr>
        <w:t xml:space="preserve">dans le carnet de santé, peut s’accompagner d’un examen gynécologique facultatif de prévention de l’endométriose, dès lors que le consentement de la mineure et de son tuteur légal est préalablement recueilli par écrit. </w:t>
      </w:r>
      <w:r w:rsidRPr="00D9363E">
        <w:rPr>
          <w:rFonts w:ascii="Times New Roman" w:hAnsi="Times New Roman" w:cs="Times New Roman"/>
          <w:sz w:val="24"/>
          <w:szCs w:val="24"/>
          <w:lang w:eastAsia="ar-SA"/>
        </w:rPr>
        <w:t>Enfin, c’est sur la base du volontariat, que cet article offre également la possibilité d’accéder à une seconde visite de prévention qui s’accompagne de la même prise en charge durant l’année suivant le 21</w:t>
      </w:r>
      <w:r w:rsidRPr="00D9363E">
        <w:rPr>
          <w:rFonts w:ascii="Times New Roman" w:hAnsi="Times New Roman" w:cs="Times New Roman"/>
          <w:sz w:val="24"/>
          <w:szCs w:val="24"/>
          <w:vertAlign w:val="superscript"/>
          <w:lang w:eastAsia="ar-SA"/>
        </w:rPr>
        <w:t>ème</w:t>
      </w:r>
      <w:r w:rsidRPr="00D9363E">
        <w:rPr>
          <w:rFonts w:ascii="Times New Roman" w:hAnsi="Times New Roman" w:cs="Times New Roman"/>
          <w:sz w:val="24"/>
          <w:szCs w:val="24"/>
          <w:lang w:eastAsia="ar-SA"/>
        </w:rPr>
        <w:t xml:space="preserve"> anniversaire des jeunes femmes. </w:t>
      </w:r>
    </w:p>
    <w:p w14:paraId="425CB484" w14:textId="77777777" w:rsidR="000E3F1E" w:rsidRPr="00A437F4"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798605F0" w14:textId="77777777" w:rsidR="000E3F1E" w:rsidRPr="00D9363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r w:rsidRPr="00DA0EA0">
        <w:rPr>
          <w:rFonts w:ascii="Times New Roman" w:eastAsia="Times New Roman" w:hAnsi="Times New Roman" w:cs="Times New Roman"/>
          <w:b/>
          <w:bCs/>
          <w:color w:val="000000" w:themeColor="text1"/>
          <w:sz w:val="24"/>
          <w:szCs w:val="24"/>
          <w:bdr w:val="none" w:sz="0" w:space="0" w:color="auto" w:frame="1"/>
          <w:lang w:eastAsia="fr-FR"/>
        </w:rPr>
        <w:t>L’article 2</w:t>
      </w:r>
      <w:r w:rsidRPr="00D9363E">
        <w:rPr>
          <w:rFonts w:ascii="Times New Roman" w:eastAsia="Times New Roman" w:hAnsi="Times New Roman" w:cs="Times New Roman"/>
          <w:color w:val="000000" w:themeColor="text1"/>
          <w:sz w:val="24"/>
          <w:szCs w:val="24"/>
          <w:bdr w:val="none" w:sz="0" w:space="0" w:color="auto" w:frame="1"/>
          <w:lang w:eastAsia="fr-FR"/>
        </w:rPr>
        <w:t xml:space="preserve"> </w:t>
      </w:r>
      <w:r w:rsidRPr="00D9363E">
        <w:rPr>
          <w:rFonts w:ascii="Times New Roman" w:eastAsia="Times New Roman" w:hAnsi="Times New Roman" w:cs="Times New Roman"/>
          <w:color w:val="000000" w:themeColor="text1"/>
          <w:sz w:val="24"/>
          <w:szCs w:val="24"/>
          <w:lang w:eastAsia="fr-FR"/>
        </w:rPr>
        <w:t xml:space="preserve">introduit au sein du code de la sécurité sociale une prise en charge intégrale des consultations et des examens de prévention de l’endométriose, </w:t>
      </w:r>
      <w:r w:rsidRPr="00D9363E">
        <w:rPr>
          <w:rFonts w:ascii="Times New Roman" w:eastAsia="Book Antiqua" w:hAnsi="Times New Roman" w:cs="Times New Roman"/>
          <w:sz w:val="24"/>
          <w:szCs w:val="24"/>
        </w:rPr>
        <w:t xml:space="preserve">ainsi que des traitements contraceptifs prescrits dans le cadre de la lutte contre l’endométriose, et dans la limite </w:t>
      </w:r>
      <w:r w:rsidRPr="00D9363E">
        <w:rPr>
          <w:rFonts w:ascii="Times New Roman" w:hAnsi="Times New Roman" w:cs="Times New Roman"/>
          <w:sz w:val="24"/>
          <w:szCs w:val="24"/>
        </w:rPr>
        <w:t xml:space="preserve">des douze mois suivant les examens de prévention, une prise en charge </w:t>
      </w:r>
      <w:r w:rsidRPr="00D9363E">
        <w:rPr>
          <w:rFonts w:ascii="Times New Roman" w:eastAsia="Book Antiqua" w:hAnsi="Times New Roman" w:cs="Times New Roman"/>
          <w:sz w:val="24"/>
          <w:szCs w:val="24"/>
        </w:rPr>
        <w:t>des</w:t>
      </w:r>
      <w:r w:rsidRPr="00D9363E">
        <w:rPr>
          <w:rFonts w:ascii="Times New Roman" w:hAnsi="Times New Roman" w:cs="Times New Roman"/>
          <w:sz w:val="24"/>
          <w:szCs w:val="24"/>
        </w:rPr>
        <w:t xml:space="preserve"> soins gynécologiques et des investigations nécessaires au diagnostic de l’endométriose et au traitement de celle-ci</w:t>
      </w:r>
      <w:r w:rsidRPr="00D9363E">
        <w:t>.</w:t>
      </w:r>
    </w:p>
    <w:p w14:paraId="259ECE29" w14:textId="77777777" w:rsidR="000E3F1E" w:rsidRPr="00A437F4"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5857CC0A" w14:textId="77777777" w:rsidR="000E3F1E" w:rsidRPr="00D9363E" w:rsidRDefault="000E3F1E" w:rsidP="000E3F1E">
      <w:pPr>
        <w:jc w:val="both"/>
        <w:rPr>
          <w:rFonts w:ascii="Times New Roman" w:hAnsi="Times New Roman" w:cs="Times New Roman"/>
          <w:sz w:val="24"/>
          <w:szCs w:val="24"/>
          <w:lang w:eastAsia="ar-SA"/>
        </w:rPr>
      </w:pPr>
      <w:r w:rsidRPr="00DA0EA0">
        <w:rPr>
          <w:rFonts w:ascii="Times New Roman" w:eastAsia="Times New Roman" w:hAnsi="Times New Roman" w:cs="Times New Roman"/>
          <w:b/>
          <w:bCs/>
          <w:color w:val="000000" w:themeColor="text1"/>
          <w:sz w:val="24"/>
          <w:szCs w:val="24"/>
          <w:bdr w:val="none" w:sz="0" w:space="0" w:color="auto" w:frame="1"/>
          <w:lang w:eastAsia="fr-FR"/>
        </w:rPr>
        <w:t>L’article 3</w:t>
      </w:r>
      <w:r w:rsidRPr="00D9363E">
        <w:rPr>
          <w:rFonts w:ascii="Times New Roman" w:eastAsia="Times New Roman" w:hAnsi="Times New Roman" w:cs="Times New Roman"/>
          <w:color w:val="000000" w:themeColor="text1"/>
          <w:sz w:val="24"/>
          <w:szCs w:val="24"/>
          <w:bdr w:val="none" w:sz="0" w:space="0" w:color="auto" w:frame="1"/>
          <w:lang w:eastAsia="fr-FR"/>
        </w:rPr>
        <w:t xml:space="preserve"> modifie également le code de la sécurité sociale </w:t>
      </w:r>
      <w:r w:rsidRPr="00D9363E">
        <w:rPr>
          <w:rFonts w:ascii="Times New Roman" w:hAnsi="Times New Roman" w:cs="Times New Roman"/>
          <w:sz w:val="24"/>
          <w:szCs w:val="24"/>
          <w:lang w:eastAsia="ar-SA"/>
        </w:rPr>
        <w:t>pour ajouter les actes nécessaires à la prévention, au diagnostic et au traitement de l’endométriose à la liste des actes bénéficiant d’une exemption de ticket modérateur, tel que cela est déjà le cas dans le cadre de la lutte</w:t>
      </w:r>
      <w:r w:rsidRPr="00D9363E">
        <w:rPr>
          <w:rFonts w:ascii="Times New Roman" w:eastAsia="Times New Roman" w:hAnsi="Times New Roman" w:cs="Times New Roman"/>
          <w:color w:val="000000" w:themeColor="text1"/>
          <w:sz w:val="24"/>
          <w:szCs w:val="24"/>
          <w:bdr w:val="none" w:sz="0" w:space="0" w:color="auto" w:frame="1"/>
          <w:lang w:eastAsia="fr-FR"/>
        </w:rPr>
        <w:t xml:space="preserve"> contre la stérilité et l’infertilité. </w:t>
      </w:r>
    </w:p>
    <w:p w14:paraId="3B3B90F9" w14:textId="1654FF69" w:rsidR="000E3F1E" w:rsidRDefault="000E3F1E" w:rsidP="000E3F1E">
      <w:pPr>
        <w:jc w:val="both"/>
        <w:rPr>
          <w:rFonts w:ascii="Times New Roman" w:hAnsi="Times New Roman" w:cs="Times New Roman"/>
          <w:sz w:val="24"/>
          <w:szCs w:val="24"/>
          <w:lang w:eastAsia="ar-SA"/>
        </w:rPr>
      </w:pPr>
      <w:r w:rsidRPr="00DA0EA0">
        <w:rPr>
          <w:rFonts w:ascii="Times New Roman" w:hAnsi="Times New Roman" w:cs="Times New Roman"/>
          <w:b/>
          <w:bCs/>
          <w:sz w:val="24"/>
          <w:szCs w:val="24"/>
          <w:lang w:eastAsia="ar-SA"/>
        </w:rPr>
        <w:t>L’article 4</w:t>
      </w:r>
      <w:r w:rsidRPr="00D9363E">
        <w:rPr>
          <w:rFonts w:ascii="Times New Roman" w:hAnsi="Times New Roman" w:cs="Times New Roman"/>
          <w:sz w:val="24"/>
          <w:szCs w:val="24"/>
          <w:lang w:eastAsia="ar-SA"/>
        </w:rPr>
        <w:t xml:space="preserve"> modifie l’article L. 160-8 du code de la sécurité sociale pour intégrer les frais liés à la prévention, au diagnostic et au traitement de l’endométriose à la liste des frais pris en charge par la protection sociale contre le risque et les conséquences de la maladie. </w:t>
      </w:r>
    </w:p>
    <w:p w14:paraId="55D70F53" w14:textId="275C95AF" w:rsidR="00453990" w:rsidRPr="00D9363E" w:rsidRDefault="00453990" w:rsidP="000E3F1E">
      <w:pPr>
        <w:jc w:val="both"/>
        <w:rPr>
          <w:rFonts w:ascii="Times New Roman" w:hAnsi="Times New Roman" w:cs="Times New Roman"/>
          <w:sz w:val="24"/>
          <w:szCs w:val="24"/>
          <w:lang w:eastAsia="ar-SA"/>
        </w:rPr>
      </w:pPr>
      <w:r w:rsidRPr="00DA0EA0">
        <w:rPr>
          <w:rFonts w:ascii="Times New Roman" w:eastAsia="Times New Roman" w:hAnsi="Times New Roman" w:cs="Times New Roman"/>
          <w:b/>
          <w:bCs/>
          <w:color w:val="000000" w:themeColor="text1"/>
          <w:sz w:val="24"/>
          <w:szCs w:val="24"/>
          <w:bdr w:val="none" w:sz="0" w:space="0" w:color="auto" w:frame="1"/>
          <w:lang w:eastAsia="fr-FR"/>
        </w:rPr>
        <w:t>L’article 5</w:t>
      </w:r>
      <w:r>
        <w:rPr>
          <w:rFonts w:ascii="Times New Roman" w:eastAsia="Times New Roman" w:hAnsi="Times New Roman" w:cs="Times New Roman"/>
          <w:b/>
          <w:bCs/>
          <w:color w:val="000000" w:themeColor="text1"/>
          <w:sz w:val="24"/>
          <w:szCs w:val="24"/>
          <w:bdr w:val="none" w:sz="0" w:space="0" w:color="auto" w:frame="1"/>
          <w:lang w:eastAsia="fr-FR"/>
        </w:rPr>
        <w:t xml:space="preserve"> </w:t>
      </w:r>
      <w:r w:rsidRPr="00453990">
        <w:rPr>
          <w:rFonts w:ascii="Times New Roman" w:eastAsia="Times New Roman" w:hAnsi="Times New Roman" w:cs="Times New Roman"/>
          <w:color w:val="000000" w:themeColor="text1"/>
          <w:sz w:val="24"/>
          <w:szCs w:val="24"/>
          <w:bdr w:val="none" w:sz="0" w:space="0" w:color="auto" w:frame="1"/>
          <w:lang w:eastAsia="fr-FR"/>
        </w:rPr>
        <w:t>intègre un module de sensibilisation à la prévention de l’endométriose durant la formation des futurs médecins.</w:t>
      </w:r>
      <w:r>
        <w:rPr>
          <w:rFonts w:ascii="Times New Roman" w:eastAsia="Times New Roman" w:hAnsi="Times New Roman" w:cs="Times New Roman"/>
          <w:b/>
          <w:bCs/>
          <w:color w:val="000000" w:themeColor="text1"/>
          <w:sz w:val="24"/>
          <w:szCs w:val="24"/>
          <w:bdr w:val="none" w:sz="0" w:space="0" w:color="auto" w:frame="1"/>
          <w:lang w:eastAsia="fr-FR"/>
        </w:rPr>
        <w:t xml:space="preserve"> </w:t>
      </w:r>
    </w:p>
    <w:p w14:paraId="7735652A" w14:textId="6C532350" w:rsidR="000E3F1E" w:rsidRPr="00D9363E" w:rsidRDefault="000E3F1E" w:rsidP="000E3F1E">
      <w:pPr>
        <w:jc w:val="both"/>
        <w:rPr>
          <w:rFonts w:ascii="Times New Roman" w:hAnsi="Times New Roman" w:cs="Times New Roman"/>
          <w:sz w:val="24"/>
          <w:szCs w:val="24"/>
          <w:lang w:eastAsia="ar-SA"/>
        </w:rPr>
      </w:pPr>
      <w:r w:rsidRPr="00DA0EA0">
        <w:rPr>
          <w:rFonts w:ascii="Times New Roman" w:eastAsia="Times New Roman" w:hAnsi="Times New Roman" w:cs="Times New Roman"/>
          <w:b/>
          <w:bCs/>
          <w:color w:val="000000" w:themeColor="text1"/>
          <w:sz w:val="24"/>
          <w:szCs w:val="24"/>
          <w:bdr w:val="none" w:sz="0" w:space="0" w:color="auto" w:frame="1"/>
          <w:lang w:eastAsia="fr-FR"/>
        </w:rPr>
        <w:t xml:space="preserve">L’article </w:t>
      </w:r>
      <w:r w:rsidR="00453990">
        <w:rPr>
          <w:rFonts w:ascii="Times New Roman" w:eastAsia="Times New Roman" w:hAnsi="Times New Roman" w:cs="Times New Roman"/>
          <w:b/>
          <w:bCs/>
          <w:color w:val="000000" w:themeColor="text1"/>
          <w:sz w:val="24"/>
          <w:szCs w:val="24"/>
          <w:bdr w:val="none" w:sz="0" w:space="0" w:color="auto" w:frame="1"/>
          <w:lang w:eastAsia="fr-FR"/>
        </w:rPr>
        <w:t>6</w:t>
      </w:r>
      <w:r w:rsidRPr="00D9363E">
        <w:rPr>
          <w:rFonts w:ascii="Times New Roman" w:eastAsia="Times New Roman" w:hAnsi="Times New Roman" w:cs="Times New Roman"/>
          <w:color w:val="000000" w:themeColor="text1"/>
          <w:sz w:val="24"/>
          <w:szCs w:val="24"/>
          <w:bdr w:val="none" w:sz="0" w:space="0" w:color="auto" w:frame="1"/>
          <w:lang w:eastAsia="fr-FR"/>
        </w:rPr>
        <w:t xml:space="preserve"> fixe</w:t>
      </w:r>
      <w:r w:rsidRPr="00D9363E">
        <w:rPr>
          <w:rFonts w:ascii="Times New Roman" w:hAnsi="Times New Roman" w:cs="Times New Roman"/>
          <w:sz w:val="24"/>
          <w:szCs w:val="24"/>
          <w:lang w:eastAsia="ar-SA"/>
        </w:rPr>
        <w:t xml:space="preserve"> la date d’entrée en vigueur de la proposition de loi au 1</w:t>
      </w:r>
      <w:r w:rsidRPr="00D9363E">
        <w:rPr>
          <w:rFonts w:ascii="Times New Roman" w:hAnsi="Times New Roman" w:cs="Times New Roman"/>
          <w:sz w:val="24"/>
          <w:szCs w:val="24"/>
          <w:vertAlign w:val="superscript"/>
          <w:lang w:eastAsia="ar-SA"/>
        </w:rPr>
        <w:t>er</w:t>
      </w:r>
      <w:r w:rsidRPr="00D9363E">
        <w:rPr>
          <w:rFonts w:ascii="Times New Roman" w:hAnsi="Times New Roman" w:cs="Times New Roman"/>
          <w:sz w:val="24"/>
          <w:szCs w:val="24"/>
          <w:lang w:eastAsia="ar-SA"/>
        </w:rPr>
        <w:t xml:space="preserve"> janvier 2023, de manière à laisser le temps aux professionnels de santé et aux caisses de sécurité sociale de s’organiser.</w:t>
      </w:r>
    </w:p>
    <w:p w14:paraId="5676EBC0" w14:textId="331B8EEF" w:rsidR="000E3F1E" w:rsidRPr="00217D1B" w:rsidRDefault="000E3F1E" w:rsidP="000E3F1E">
      <w:pPr>
        <w:jc w:val="both"/>
        <w:rPr>
          <w:rFonts w:ascii="Times New Roman" w:hAnsi="Times New Roman" w:cs="Times New Roman"/>
          <w:b/>
          <w:bCs/>
          <w:sz w:val="24"/>
          <w:szCs w:val="24"/>
          <w:lang w:eastAsia="ar-SA"/>
        </w:rPr>
      </w:pPr>
      <w:r w:rsidRPr="00DA0EA0">
        <w:rPr>
          <w:rFonts w:ascii="Times New Roman" w:eastAsia="Times New Roman" w:hAnsi="Times New Roman" w:cs="Times New Roman"/>
          <w:b/>
          <w:bCs/>
          <w:color w:val="000000" w:themeColor="text1"/>
          <w:sz w:val="24"/>
          <w:szCs w:val="24"/>
          <w:bdr w:val="none" w:sz="0" w:space="0" w:color="auto" w:frame="1"/>
          <w:lang w:eastAsia="fr-FR"/>
        </w:rPr>
        <w:t xml:space="preserve">Enfin, l’article </w:t>
      </w:r>
      <w:r w:rsidR="00453990">
        <w:rPr>
          <w:rFonts w:ascii="Times New Roman" w:eastAsia="Times New Roman" w:hAnsi="Times New Roman" w:cs="Times New Roman"/>
          <w:b/>
          <w:bCs/>
          <w:color w:val="000000" w:themeColor="text1"/>
          <w:sz w:val="24"/>
          <w:szCs w:val="24"/>
          <w:bdr w:val="none" w:sz="0" w:space="0" w:color="auto" w:frame="1"/>
          <w:lang w:eastAsia="fr-FR"/>
        </w:rPr>
        <w:t>7</w:t>
      </w:r>
      <w:r w:rsidRPr="00217D1B">
        <w:rPr>
          <w:rFonts w:ascii="Times New Roman" w:eastAsia="Times New Roman" w:hAnsi="Times New Roman" w:cs="Times New Roman"/>
          <w:color w:val="000000" w:themeColor="text1"/>
          <w:sz w:val="24"/>
          <w:szCs w:val="24"/>
          <w:bdr w:val="none" w:sz="0" w:space="0" w:color="auto" w:frame="1"/>
          <w:lang w:eastAsia="fr-FR"/>
        </w:rPr>
        <w:t xml:space="preserve"> est relatif aux gages financiers vient compléter cette proposition de loi.</w:t>
      </w:r>
    </w:p>
    <w:p w14:paraId="2B3F0961" w14:textId="77777777" w:rsidR="000E3F1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2C57A5E8" w14:textId="77777777" w:rsidR="000E3F1E"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39847CB0" w14:textId="77777777" w:rsidR="000E3F1E" w:rsidRPr="00A437F4" w:rsidRDefault="000E3F1E" w:rsidP="000E3F1E">
      <w:pPr>
        <w:shd w:val="clear" w:color="auto" w:fill="FFFFFF"/>
        <w:spacing w:after="0" w:line="240" w:lineRule="auto"/>
        <w:contextualSpacing/>
        <w:jc w:val="both"/>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2AB049C0" w14:textId="77777777" w:rsidR="000E3F1E" w:rsidRPr="00A437F4" w:rsidRDefault="000E3F1E" w:rsidP="000E3F1E">
      <w:pPr>
        <w:shd w:val="clear" w:color="auto" w:fill="FFFFFF"/>
        <w:spacing w:after="0" w:line="240" w:lineRule="auto"/>
        <w:contextualSpacing/>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480A0E1C" w14:textId="77777777" w:rsidR="000E3F1E" w:rsidRPr="00A437F4"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r w:rsidRPr="00A437F4">
        <w:rPr>
          <w:rFonts w:ascii="Times New Roman" w:eastAsia="Times New Roman" w:hAnsi="Times New Roman" w:cs="Times New Roman"/>
          <w:color w:val="000000" w:themeColor="text1"/>
          <w:sz w:val="24"/>
          <w:szCs w:val="24"/>
          <w:bdr w:val="none" w:sz="0" w:space="0" w:color="auto" w:frame="1"/>
          <w:lang w:eastAsia="fr-FR"/>
        </w:rPr>
        <w:t>*</w:t>
      </w:r>
      <w:r w:rsidRPr="00A437F4">
        <w:rPr>
          <w:rFonts w:ascii="Times New Roman" w:eastAsia="Times New Roman" w:hAnsi="Times New Roman" w:cs="Times New Roman"/>
          <w:color w:val="000000" w:themeColor="text1"/>
          <w:sz w:val="24"/>
          <w:szCs w:val="24"/>
          <w:bdr w:val="none" w:sz="0" w:space="0" w:color="auto" w:frame="1"/>
          <w:lang w:eastAsia="fr-FR"/>
        </w:rPr>
        <w:tab/>
      </w:r>
      <w:r w:rsidRPr="00A437F4">
        <w:rPr>
          <w:rFonts w:ascii="Times New Roman" w:eastAsia="Times New Roman" w:hAnsi="Times New Roman" w:cs="Times New Roman"/>
          <w:color w:val="000000" w:themeColor="text1"/>
          <w:sz w:val="24"/>
          <w:szCs w:val="24"/>
          <w:bdr w:val="none" w:sz="0" w:space="0" w:color="auto" w:frame="1"/>
          <w:lang w:eastAsia="fr-FR"/>
        </w:rPr>
        <w:tab/>
        <w:t>*</w:t>
      </w:r>
    </w:p>
    <w:p w14:paraId="44CC2D53"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r w:rsidRPr="00A437F4">
        <w:rPr>
          <w:rFonts w:ascii="Times New Roman" w:eastAsia="Times New Roman" w:hAnsi="Times New Roman" w:cs="Times New Roman"/>
          <w:color w:val="000000" w:themeColor="text1"/>
          <w:sz w:val="24"/>
          <w:szCs w:val="24"/>
          <w:bdr w:val="none" w:sz="0" w:space="0" w:color="auto" w:frame="1"/>
          <w:lang w:eastAsia="fr-FR"/>
        </w:rPr>
        <w:t>*</w:t>
      </w:r>
    </w:p>
    <w:p w14:paraId="67F3AB3B"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09FCEDB9"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47388C47"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5F6A50DD"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0CAD1CA8"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683121DC"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2F92256F" w14:textId="5D2F1EA8"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73B7EA35" w14:textId="77777777" w:rsidR="00453990" w:rsidRDefault="00453990"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14B2DDCE" w14:textId="77777777" w:rsidR="000E3F1E" w:rsidRDefault="000E3F1E" w:rsidP="000E3F1E">
      <w:pPr>
        <w:shd w:val="clear" w:color="auto" w:fill="FFFFFF"/>
        <w:spacing w:after="0" w:line="240" w:lineRule="auto"/>
        <w:jc w:val="center"/>
        <w:textAlignment w:val="baseline"/>
        <w:rPr>
          <w:rFonts w:ascii="Times New Roman" w:eastAsia="Times New Roman" w:hAnsi="Times New Roman" w:cs="Times New Roman"/>
          <w:color w:val="000000" w:themeColor="text1"/>
          <w:sz w:val="24"/>
          <w:szCs w:val="24"/>
          <w:bdr w:val="none" w:sz="0" w:space="0" w:color="auto" w:frame="1"/>
          <w:lang w:eastAsia="fr-FR"/>
        </w:rPr>
      </w:pPr>
    </w:p>
    <w:p w14:paraId="2CF3F071" w14:textId="77777777" w:rsidR="000E3F1E" w:rsidRPr="00A437F4" w:rsidRDefault="000E3F1E" w:rsidP="000E3F1E">
      <w:pPr>
        <w:shd w:val="clear" w:color="auto" w:fill="FFFFFF"/>
        <w:spacing w:after="0" w:line="240" w:lineRule="auto"/>
        <w:jc w:val="center"/>
        <w:textAlignment w:val="baseline"/>
        <w:rPr>
          <w:rFonts w:ascii="Times New Roman" w:eastAsia="Times New Roman" w:hAnsi="Times New Roman" w:cs="Times New Roman"/>
          <w:b/>
          <w:bCs/>
          <w:color w:val="000000" w:themeColor="text1"/>
          <w:sz w:val="24"/>
          <w:szCs w:val="24"/>
          <w:lang w:eastAsia="fr-FR"/>
        </w:rPr>
      </w:pPr>
      <w:r w:rsidRPr="00A437F4">
        <w:rPr>
          <w:rFonts w:ascii="Times New Roman" w:eastAsia="Times New Roman" w:hAnsi="Times New Roman" w:cs="Times New Roman"/>
          <w:b/>
          <w:bCs/>
          <w:color w:val="000000" w:themeColor="text1"/>
          <w:sz w:val="24"/>
          <w:szCs w:val="24"/>
          <w:lang w:eastAsia="fr-FR"/>
        </w:rPr>
        <w:lastRenderedPageBreak/>
        <w:t xml:space="preserve">PROPOSITION DE LOI </w:t>
      </w:r>
    </w:p>
    <w:p w14:paraId="255BF944" w14:textId="77777777" w:rsidR="000E3F1E" w:rsidRPr="00A437F4" w:rsidRDefault="000E3F1E" w:rsidP="000E3F1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fr-FR"/>
        </w:rPr>
      </w:pPr>
    </w:p>
    <w:p w14:paraId="547673DA" w14:textId="77777777" w:rsidR="000E3F1E" w:rsidRPr="00A437F4" w:rsidRDefault="000E3F1E" w:rsidP="000E3F1E">
      <w:pPr>
        <w:pStyle w:val="Textbody"/>
        <w:widowControl/>
        <w:spacing w:after="0"/>
        <w:jc w:val="center"/>
        <w:rPr>
          <w:rFonts w:cs="Times New Roman"/>
          <w:b/>
          <w:bCs/>
          <w:color w:val="000000" w:themeColor="text1"/>
        </w:rPr>
      </w:pPr>
    </w:p>
    <w:p w14:paraId="5F475D57" w14:textId="77777777" w:rsidR="000E3F1E" w:rsidRPr="00A437F4" w:rsidRDefault="000E3F1E" w:rsidP="000E3F1E">
      <w:pPr>
        <w:pStyle w:val="Standard"/>
        <w:jc w:val="center"/>
        <w:rPr>
          <w:rFonts w:ascii="Times New Roman" w:hAnsi="Times New Roman" w:cs="Times New Roman"/>
          <w:b/>
          <w:bCs/>
          <w:color w:val="000000" w:themeColor="text1"/>
          <w:vertAlign w:val="superscript"/>
        </w:rPr>
      </w:pPr>
      <w:r w:rsidRPr="00A437F4">
        <w:rPr>
          <w:rFonts w:ascii="Times New Roman" w:hAnsi="Times New Roman" w:cs="Times New Roman"/>
          <w:b/>
          <w:bCs/>
          <w:color w:val="000000" w:themeColor="text1"/>
        </w:rPr>
        <w:t>Article 1</w:t>
      </w:r>
      <w:r w:rsidRPr="00A437F4">
        <w:rPr>
          <w:rFonts w:ascii="Times New Roman" w:hAnsi="Times New Roman" w:cs="Times New Roman"/>
          <w:b/>
          <w:bCs/>
          <w:color w:val="000000" w:themeColor="text1"/>
          <w:vertAlign w:val="superscript"/>
        </w:rPr>
        <w:t>er</w:t>
      </w:r>
    </w:p>
    <w:p w14:paraId="4FD4C911" w14:textId="77777777" w:rsidR="000E3F1E" w:rsidRDefault="000E3F1E" w:rsidP="000E3F1E">
      <w:pPr>
        <w:pStyle w:val="Default"/>
        <w:ind w:firstLine="238"/>
        <w:jc w:val="both"/>
        <w:rPr>
          <w:bCs/>
        </w:rPr>
      </w:pPr>
    </w:p>
    <w:p w14:paraId="313271AF" w14:textId="77777777" w:rsidR="000E3F1E" w:rsidRPr="00746B88" w:rsidRDefault="000E3F1E" w:rsidP="000E3F1E">
      <w:pPr>
        <w:pStyle w:val="Default"/>
        <w:jc w:val="both"/>
        <w:rPr>
          <w:bCs/>
        </w:rPr>
      </w:pPr>
      <w:r w:rsidRPr="00746B88">
        <w:rPr>
          <w:bCs/>
        </w:rPr>
        <w:t>Le chapitre II du titre III du livre I</w:t>
      </w:r>
      <w:r w:rsidRPr="00746B88">
        <w:rPr>
          <w:bCs/>
          <w:vertAlign w:val="superscript"/>
        </w:rPr>
        <w:t xml:space="preserve">er </w:t>
      </w:r>
      <w:r w:rsidRPr="00746B88">
        <w:rPr>
          <w:bCs/>
        </w:rPr>
        <w:t xml:space="preserve">de la deuxième partie du code de la santé publique est ainsi modifié : </w:t>
      </w:r>
    </w:p>
    <w:p w14:paraId="77401E9D" w14:textId="77777777" w:rsidR="000E3F1E" w:rsidRPr="00746B88" w:rsidRDefault="000E3F1E" w:rsidP="000E3F1E">
      <w:pPr>
        <w:pStyle w:val="Default"/>
        <w:jc w:val="both"/>
        <w:rPr>
          <w:bCs/>
        </w:rPr>
      </w:pPr>
      <w:r w:rsidRPr="00746B88">
        <w:rPr>
          <w:bCs/>
        </w:rPr>
        <w:tab/>
      </w:r>
    </w:p>
    <w:p w14:paraId="71E35748" w14:textId="77777777" w:rsidR="000E3F1E" w:rsidRPr="00746B88" w:rsidRDefault="000E3F1E" w:rsidP="000E3F1E">
      <w:pPr>
        <w:pStyle w:val="Default"/>
        <w:ind w:firstLine="238"/>
        <w:jc w:val="both"/>
        <w:rPr>
          <w:bCs/>
        </w:rPr>
      </w:pPr>
      <w:r w:rsidRPr="00746B88">
        <w:rPr>
          <w:bCs/>
        </w:rPr>
        <w:t xml:space="preserve">1° Au deuxième alinéa de l’article L. 2132-1, après le mot : « obligatoirement » sont insérés les mots : « la réalisation de la consultation mentionnée au premier alinéa de l’article </w:t>
      </w:r>
      <w:r w:rsidRPr="00746B88">
        <w:rPr>
          <w:rFonts w:eastAsia="Book Antiqua"/>
          <w:bCs/>
          <w:color w:val="auto"/>
          <w:lang w:eastAsia="en-US"/>
        </w:rPr>
        <w:t xml:space="preserve">L. 2132-2-2 et </w:t>
      </w:r>
      <w:r w:rsidRPr="00746B88">
        <w:rPr>
          <w:bCs/>
        </w:rPr>
        <w:t>».</w:t>
      </w:r>
    </w:p>
    <w:p w14:paraId="399854E0" w14:textId="77777777" w:rsidR="000E3F1E" w:rsidRPr="00746B88" w:rsidRDefault="000E3F1E" w:rsidP="000E3F1E">
      <w:pPr>
        <w:pStyle w:val="Default"/>
        <w:jc w:val="both"/>
        <w:rPr>
          <w:bCs/>
        </w:rPr>
      </w:pPr>
    </w:p>
    <w:p w14:paraId="23FCE89F" w14:textId="77777777" w:rsidR="000E3F1E" w:rsidRPr="00746B88" w:rsidRDefault="000E3F1E" w:rsidP="000E3F1E">
      <w:pPr>
        <w:pStyle w:val="Default"/>
        <w:ind w:firstLine="238"/>
        <w:jc w:val="both"/>
        <w:rPr>
          <w:bCs/>
        </w:rPr>
      </w:pPr>
      <w:r w:rsidRPr="00746B88">
        <w:rPr>
          <w:bCs/>
        </w:rPr>
        <w:t>2° Après l’article L. 2132-2-1, il est inséré un article ainsi rédigé :   </w:t>
      </w:r>
    </w:p>
    <w:p w14:paraId="3874EE09" w14:textId="77777777" w:rsidR="000E3F1E" w:rsidRPr="00746B88" w:rsidRDefault="000E3F1E" w:rsidP="000E3F1E">
      <w:pPr>
        <w:pStyle w:val="Default"/>
        <w:jc w:val="both"/>
        <w:rPr>
          <w:rFonts w:eastAsia="Book Antiqua"/>
          <w:bCs/>
          <w:color w:val="auto"/>
          <w:lang w:eastAsia="en-US"/>
        </w:rPr>
      </w:pPr>
    </w:p>
    <w:p w14:paraId="78DC93AD" w14:textId="77777777" w:rsidR="000E3F1E" w:rsidRPr="00746B88" w:rsidRDefault="000E3F1E" w:rsidP="000E3F1E">
      <w:pPr>
        <w:pStyle w:val="Default"/>
        <w:jc w:val="both"/>
        <w:rPr>
          <w:rFonts w:eastAsia="Book Antiqua"/>
          <w:bCs/>
          <w:color w:val="auto"/>
          <w:lang w:eastAsia="en-US"/>
        </w:rPr>
      </w:pPr>
      <w:r w:rsidRPr="00746B88">
        <w:rPr>
          <w:rFonts w:eastAsia="Book Antiqua"/>
          <w:bCs/>
          <w:color w:val="auto"/>
          <w:lang w:eastAsia="en-US"/>
        </w:rPr>
        <w:t xml:space="preserve">« Art. L. 2132-2-2. - Dans l’année qui suit leur quinzième anniversaire, les mineures sont obligatoirement soumises à une consultation médicale d’information, de sensibilisation et de prévention des risques liés à l’endométriose. Cette consultation, réalisée par un gynécologue, permet d’établir un diagnostic individualisé de prévention des risques liés à l’endométriose, et de proposer des traitements contraceptifs adaptés. Elle peut être suivie d’un examen gynécologique de prévention de l’endométriose, dès lors que le consentement du tuteur légal et de l’enfant mineur dont il a la charge, est préalablement recueilli par écrit. </w:t>
      </w:r>
    </w:p>
    <w:p w14:paraId="411A4DD5" w14:textId="77777777" w:rsidR="000E3F1E" w:rsidRPr="00746B88" w:rsidRDefault="000E3F1E" w:rsidP="000E3F1E">
      <w:pPr>
        <w:pStyle w:val="Default"/>
        <w:jc w:val="both"/>
        <w:rPr>
          <w:rFonts w:eastAsia="Book Antiqua"/>
          <w:bCs/>
          <w:color w:val="auto"/>
          <w:lang w:eastAsia="en-US"/>
        </w:rPr>
      </w:pPr>
    </w:p>
    <w:p w14:paraId="2928B321" w14:textId="77777777" w:rsidR="000E3F1E" w:rsidRPr="00746B88" w:rsidRDefault="000E3F1E" w:rsidP="000E3F1E">
      <w:pPr>
        <w:pStyle w:val="Default"/>
        <w:jc w:val="both"/>
        <w:rPr>
          <w:rFonts w:eastAsia="Book Antiqua"/>
          <w:bCs/>
          <w:color w:val="auto"/>
          <w:lang w:eastAsia="en-US"/>
        </w:rPr>
      </w:pPr>
      <w:r w:rsidRPr="00746B88">
        <w:rPr>
          <w:rFonts w:eastAsia="Book Antiqua"/>
          <w:bCs/>
          <w:color w:val="auto"/>
          <w:lang w:eastAsia="en-US"/>
        </w:rPr>
        <w:t xml:space="preserve">L’obligation mentionnée à la première phrase du précédent alinéa est réputée remplie lorsque le gynécologue atteste de la réalisation de cette consultation sur le carnet de santé mentionné à l’article L. 2132-1, y compris lorsque l’examen gynécologique de prévention de l’endométriose n’a pas été réalisé. </w:t>
      </w:r>
    </w:p>
    <w:p w14:paraId="196CCF29" w14:textId="77777777" w:rsidR="000E3F1E" w:rsidRPr="00746B88" w:rsidRDefault="000E3F1E" w:rsidP="000E3F1E">
      <w:pPr>
        <w:pStyle w:val="Default"/>
        <w:jc w:val="both"/>
        <w:rPr>
          <w:rFonts w:eastAsia="Book Antiqua"/>
          <w:bCs/>
          <w:color w:val="auto"/>
          <w:lang w:eastAsia="en-US"/>
        </w:rPr>
      </w:pPr>
    </w:p>
    <w:p w14:paraId="7E540705" w14:textId="77777777" w:rsidR="000E3F1E" w:rsidRPr="00746B88" w:rsidRDefault="000E3F1E" w:rsidP="000E3F1E">
      <w:pPr>
        <w:pStyle w:val="Default"/>
        <w:jc w:val="both"/>
        <w:rPr>
          <w:rFonts w:eastAsia="Book Antiqua"/>
          <w:bCs/>
          <w:color w:val="auto"/>
          <w:lang w:eastAsia="en-US"/>
        </w:rPr>
      </w:pPr>
      <w:r w:rsidRPr="00746B88">
        <w:rPr>
          <w:rFonts w:eastAsia="Book Antiqua"/>
          <w:bCs/>
          <w:color w:val="auto"/>
          <w:lang w:eastAsia="en-US"/>
        </w:rPr>
        <w:t xml:space="preserve">Dans l’année qui suit leur vingt et unième anniversaire, les assurées, bénéficient d’une </w:t>
      </w:r>
      <w:r w:rsidRPr="00D9363E">
        <w:rPr>
          <w:rFonts w:eastAsia="Book Antiqua"/>
          <w:bCs/>
          <w:color w:val="auto"/>
          <w:lang w:eastAsia="en-US"/>
        </w:rPr>
        <w:t>consultation médicale réalisée par un gynécologue, qui porte sur la sensibilisation à une contraception adaptée</w:t>
      </w:r>
      <w:r w:rsidRPr="00746B88">
        <w:rPr>
          <w:rFonts w:eastAsia="Book Antiqua"/>
          <w:bCs/>
          <w:color w:val="auto"/>
          <w:lang w:eastAsia="en-US"/>
        </w:rPr>
        <w:t xml:space="preserve"> aux risques liés à l’endométriose. Cette consultation peut être suivie d’un examen gynécologique de prévention de l’endométriose. </w:t>
      </w:r>
    </w:p>
    <w:p w14:paraId="789E54AE" w14:textId="77777777" w:rsidR="000E3F1E" w:rsidRPr="00746B88" w:rsidRDefault="000E3F1E" w:rsidP="000E3F1E">
      <w:pPr>
        <w:pStyle w:val="Default"/>
        <w:jc w:val="both"/>
        <w:rPr>
          <w:rFonts w:eastAsia="Book Antiqua"/>
          <w:bCs/>
          <w:color w:val="auto"/>
          <w:lang w:eastAsia="en-US"/>
        </w:rPr>
      </w:pPr>
    </w:p>
    <w:p w14:paraId="6D239FCE" w14:textId="77777777" w:rsidR="000E3F1E" w:rsidRPr="00746B88" w:rsidRDefault="000E3F1E" w:rsidP="000E3F1E">
      <w:pPr>
        <w:pStyle w:val="Default"/>
        <w:jc w:val="both"/>
        <w:rPr>
          <w:rFonts w:eastAsia="Book Antiqua"/>
          <w:bCs/>
          <w:color w:val="auto"/>
          <w:lang w:eastAsia="en-US"/>
        </w:rPr>
      </w:pPr>
      <w:r w:rsidRPr="00746B88">
        <w:rPr>
          <w:rFonts w:eastAsia="Book Antiqua"/>
          <w:bCs/>
          <w:color w:val="auto"/>
          <w:lang w:eastAsia="en-US"/>
        </w:rPr>
        <w:t xml:space="preserve">Les examens prévus au premier et au troisième alinéas ainsi que, le cas échéant, les soins gynécologiques consécutifs, sont pris en charge dans les conditions prévues à l’article L. 162-1-12-2 du code de la sécurité sociale. </w:t>
      </w:r>
    </w:p>
    <w:p w14:paraId="0AB680C6" w14:textId="77777777" w:rsidR="000E3F1E" w:rsidRPr="00746B88" w:rsidRDefault="000E3F1E" w:rsidP="000E3F1E">
      <w:pPr>
        <w:pStyle w:val="Default"/>
        <w:jc w:val="both"/>
        <w:rPr>
          <w:rFonts w:eastAsia="Book Antiqua"/>
          <w:bCs/>
          <w:color w:val="auto"/>
          <w:lang w:eastAsia="en-US"/>
        </w:rPr>
      </w:pPr>
    </w:p>
    <w:p w14:paraId="1676E4CE" w14:textId="77777777" w:rsidR="000E3F1E" w:rsidRPr="00746B88" w:rsidRDefault="000E3F1E" w:rsidP="000E3F1E">
      <w:pPr>
        <w:tabs>
          <w:tab w:val="center" w:pos="6804"/>
        </w:tabs>
        <w:spacing w:after="0" w:line="240" w:lineRule="auto"/>
        <w:jc w:val="both"/>
        <w:rPr>
          <w:rFonts w:ascii="Times New Roman" w:eastAsia="Book Antiqua" w:hAnsi="Times New Roman" w:cs="Times New Roman"/>
          <w:bCs/>
          <w:sz w:val="24"/>
          <w:szCs w:val="24"/>
        </w:rPr>
      </w:pPr>
      <w:r w:rsidRPr="00746B88">
        <w:rPr>
          <w:rFonts w:ascii="Times New Roman" w:eastAsia="Book Antiqua" w:hAnsi="Times New Roman" w:cs="Times New Roman"/>
          <w:bCs/>
          <w:sz w:val="24"/>
          <w:szCs w:val="24"/>
        </w:rPr>
        <w:t>La nature et les modalités de réalisation des examens de prévention et des soins gynécologiques consécutifs sont prévues</w:t>
      </w:r>
      <w:r w:rsidRPr="00746B88">
        <w:rPr>
          <w:rFonts w:ascii="Times New Roman" w:hAnsi="Times New Roman" w:cs="Times New Roman"/>
          <w:bCs/>
          <w:sz w:val="24"/>
          <w:szCs w:val="24"/>
        </w:rPr>
        <w:t xml:space="preserve"> </w:t>
      </w:r>
      <w:r w:rsidRPr="00746B88">
        <w:rPr>
          <w:rFonts w:ascii="Times New Roman" w:eastAsia="Book Antiqua" w:hAnsi="Times New Roman" w:cs="Times New Roman"/>
          <w:bCs/>
          <w:sz w:val="24"/>
          <w:szCs w:val="24"/>
        </w:rPr>
        <w:t>par arrêté des ministres chargés de la santé et de la sécurité sociale. Cet arrêté précise notamment les modalités d’information et de suivi des bénéficiaires de ces actes ainsi que les conditions de transmission des informations nécessaires à l’évaluation du programme de prévention dans le respect des dispositions de la loi n° 78-17 du 6 janvier 1978 relative à l’informatique, aux fichiers et aux libertés.</w:t>
      </w:r>
      <w:r>
        <w:rPr>
          <w:rFonts w:ascii="Times New Roman" w:eastAsia="Book Antiqua" w:hAnsi="Times New Roman" w:cs="Times New Roman"/>
          <w:bCs/>
          <w:sz w:val="24"/>
          <w:szCs w:val="24"/>
        </w:rPr>
        <w:t> »</w:t>
      </w:r>
    </w:p>
    <w:p w14:paraId="6A346124" w14:textId="77777777" w:rsidR="000E3F1E" w:rsidRDefault="000E3F1E" w:rsidP="000E3F1E">
      <w:pPr>
        <w:pStyle w:val="Standard"/>
        <w:jc w:val="center"/>
        <w:rPr>
          <w:rFonts w:ascii="Times New Roman" w:hAnsi="Times New Roman" w:cs="Times New Roman"/>
          <w:color w:val="000000" w:themeColor="text1"/>
        </w:rPr>
      </w:pPr>
    </w:p>
    <w:p w14:paraId="767F85A8" w14:textId="77777777" w:rsidR="000E3F1E" w:rsidRPr="00A437F4" w:rsidRDefault="000E3F1E" w:rsidP="000E3F1E">
      <w:pPr>
        <w:pStyle w:val="Standard"/>
        <w:jc w:val="center"/>
        <w:rPr>
          <w:rFonts w:ascii="Times New Roman" w:hAnsi="Times New Roman" w:cs="Times New Roman"/>
          <w:color w:val="000000" w:themeColor="text1"/>
        </w:rPr>
      </w:pPr>
    </w:p>
    <w:p w14:paraId="1537673C" w14:textId="77777777" w:rsidR="000E3F1E" w:rsidRDefault="000E3F1E" w:rsidP="000E3F1E">
      <w:pPr>
        <w:pStyle w:val="Standard"/>
        <w:jc w:val="center"/>
        <w:rPr>
          <w:rFonts w:ascii="Times New Roman" w:hAnsi="Times New Roman" w:cs="Times New Roman"/>
          <w:b/>
          <w:bCs/>
          <w:color w:val="000000" w:themeColor="text1"/>
        </w:rPr>
      </w:pPr>
      <w:r w:rsidRPr="00A437F4">
        <w:rPr>
          <w:rFonts w:ascii="Times New Roman" w:hAnsi="Times New Roman" w:cs="Times New Roman"/>
          <w:b/>
          <w:bCs/>
          <w:color w:val="000000" w:themeColor="text1"/>
        </w:rPr>
        <w:t>Article 2</w:t>
      </w:r>
    </w:p>
    <w:p w14:paraId="09801D2D" w14:textId="77777777" w:rsidR="000E3F1E" w:rsidRDefault="000E3F1E" w:rsidP="000E3F1E">
      <w:pPr>
        <w:pStyle w:val="Standard"/>
        <w:jc w:val="center"/>
        <w:rPr>
          <w:rFonts w:ascii="Times New Roman" w:hAnsi="Times New Roman" w:cs="Times New Roman"/>
          <w:b/>
          <w:bCs/>
          <w:color w:val="000000" w:themeColor="text1"/>
        </w:rPr>
      </w:pPr>
    </w:p>
    <w:p w14:paraId="12EBF98D" w14:textId="77777777" w:rsidR="000E3F1E" w:rsidRPr="005E258B" w:rsidRDefault="000E3F1E" w:rsidP="000E3F1E">
      <w:pPr>
        <w:tabs>
          <w:tab w:val="center" w:pos="6804"/>
        </w:tabs>
        <w:spacing w:after="0" w:line="240" w:lineRule="auto"/>
        <w:jc w:val="both"/>
        <w:rPr>
          <w:rFonts w:ascii="Times New Roman" w:hAnsi="Times New Roman" w:cs="Times New Roman"/>
          <w:bCs/>
          <w:sz w:val="24"/>
          <w:szCs w:val="24"/>
        </w:rPr>
      </w:pPr>
      <w:r w:rsidRPr="005E258B">
        <w:rPr>
          <w:rFonts w:ascii="Times New Roman" w:hAnsi="Times New Roman" w:cs="Times New Roman"/>
          <w:bCs/>
          <w:sz w:val="24"/>
          <w:szCs w:val="24"/>
        </w:rPr>
        <w:t>Au chapitre II du titre VI du livre I du code de la sécurité sociale, après l’article L. 162</w:t>
      </w:r>
      <w:r w:rsidRPr="005E258B">
        <w:rPr>
          <w:rFonts w:ascii="Times New Roman" w:hAnsi="Times New Roman" w:cs="Times New Roman"/>
          <w:bCs/>
          <w:sz w:val="24"/>
          <w:szCs w:val="24"/>
        </w:rPr>
        <w:noBreakHyphen/>
        <w:t>1</w:t>
      </w:r>
      <w:r w:rsidRPr="005E258B">
        <w:rPr>
          <w:rFonts w:ascii="Times New Roman" w:hAnsi="Times New Roman" w:cs="Times New Roman"/>
          <w:bCs/>
          <w:sz w:val="24"/>
          <w:szCs w:val="24"/>
        </w:rPr>
        <w:noBreakHyphen/>
        <w:t>12-1, il est inséré un article ainsi rédigé : </w:t>
      </w:r>
    </w:p>
    <w:p w14:paraId="01D16487" w14:textId="77777777" w:rsidR="000E3F1E" w:rsidRPr="005E258B" w:rsidRDefault="000E3F1E" w:rsidP="000E3F1E">
      <w:pPr>
        <w:tabs>
          <w:tab w:val="center" w:pos="6804"/>
        </w:tabs>
        <w:spacing w:after="0" w:line="240" w:lineRule="auto"/>
        <w:jc w:val="both"/>
        <w:rPr>
          <w:rFonts w:ascii="Times New Roman" w:eastAsia="Book Antiqua" w:hAnsi="Times New Roman" w:cs="Times New Roman"/>
          <w:bCs/>
          <w:sz w:val="24"/>
          <w:szCs w:val="24"/>
        </w:rPr>
      </w:pPr>
    </w:p>
    <w:p w14:paraId="590A3B66" w14:textId="77777777" w:rsidR="000E3F1E" w:rsidRDefault="000E3F1E" w:rsidP="000E3F1E">
      <w:pPr>
        <w:tabs>
          <w:tab w:val="center" w:pos="6804"/>
        </w:tabs>
        <w:spacing w:after="0" w:line="240" w:lineRule="auto"/>
        <w:jc w:val="both"/>
        <w:rPr>
          <w:rFonts w:ascii="Times New Roman" w:eastAsia="Book Antiqua" w:hAnsi="Times New Roman" w:cs="Times New Roman"/>
          <w:bCs/>
          <w:color w:val="0070C0"/>
          <w:sz w:val="24"/>
          <w:szCs w:val="24"/>
        </w:rPr>
      </w:pPr>
      <w:r w:rsidRPr="00BE25BD">
        <w:rPr>
          <w:rFonts w:ascii="Times New Roman" w:eastAsia="Book Antiqua" w:hAnsi="Times New Roman" w:cs="Times New Roman"/>
          <w:bCs/>
          <w:sz w:val="24"/>
          <w:szCs w:val="24"/>
        </w:rPr>
        <w:lastRenderedPageBreak/>
        <w:t xml:space="preserve">« Art. L. 162-1-12-2. </w:t>
      </w:r>
      <w:r w:rsidRPr="00D9363E">
        <w:rPr>
          <w:rFonts w:ascii="Times New Roman" w:eastAsia="Book Antiqua" w:hAnsi="Times New Roman" w:cs="Times New Roman"/>
          <w:bCs/>
          <w:color w:val="000000" w:themeColor="text1"/>
          <w:sz w:val="24"/>
          <w:szCs w:val="24"/>
        </w:rPr>
        <w:t>– Les régimes obligatoires de l’assurance maladie et maternité prennent en charge, en totalité, le</w:t>
      </w:r>
      <w:r w:rsidRPr="00D9363E">
        <w:rPr>
          <w:rFonts w:ascii="Times New Roman" w:eastAsia="Book Antiqua" w:hAnsi="Times New Roman" w:cs="Times New Roman"/>
          <w:b/>
          <w:bCs/>
          <w:color w:val="000000" w:themeColor="text1"/>
          <w:sz w:val="24"/>
          <w:szCs w:val="24"/>
        </w:rPr>
        <w:t xml:space="preserve">s </w:t>
      </w:r>
      <w:r w:rsidRPr="00D9363E">
        <w:rPr>
          <w:rFonts w:ascii="Times New Roman" w:eastAsia="Book Antiqua" w:hAnsi="Times New Roman" w:cs="Times New Roman"/>
          <w:bCs/>
          <w:color w:val="000000" w:themeColor="text1"/>
          <w:sz w:val="24"/>
          <w:szCs w:val="24"/>
        </w:rPr>
        <w:t>traitements contraceptifs prescrits dans le cadre de la lutte contre l’endométriose, les consultations et les examens de prévention mentionnés à l’article L. 2132-2-2 du code de la santé publique, ainsi que, lorsqu’ils sont réalisés dans l</w:t>
      </w:r>
      <w:r w:rsidRPr="00D9363E">
        <w:rPr>
          <w:rFonts w:ascii="Times New Roman" w:hAnsi="Times New Roman" w:cs="Times New Roman"/>
          <w:bCs/>
          <w:color w:val="000000" w:themeColor="text1"/>
          <w:sz w:val="24"/>
          <w:szCs w:val="24"/>
        </w:rPr>
        <w:t xml:space="preserve">es douze mois suivant ces examens </w:t>
      </w:r>
      <w:r w:rsidRPr="00D9363E">
        <w:rPr>
          <w:rFonts w:ascii="Times New Roman" w:eastAsia="Book Antiqua" w:hAnsi="Times New Roman" w:cs="Times New Roman"/>
          <w:color w:val="000000" w:themeColor="text1"/>
          <w:sz w:val="24"/>
          <w:szCs w:val="24"/>
        </w:rPr>
        <w:t>de prévention</w:t>
      </w:r>
      <w:r w:rsidRPr="00D9363E">
        <w:rPr>
          <w:rFonts w:ascii="Times New Roman" w:hAnsi="Times New Roman" w:cs="Times New Roman"/>
          <w:color w:val="000000" w:themeColor="text1"/>
          <w:sz w:val="24"/>
          <w:szCs w:val="24"/>
        </w:rPr>
        <w:t>,</w:t>
      </w:r>
      <w:r w:rsidRPr="00D9363E">
        <w:rPr>
          <w:rFonts w:ascii="Times New Roman" w:hAnsi="Times New Roman" w:cs="Times New Roman"/>
          <w:bCs/>
          <w:color w:val="000000" w:themeColor="text1"/>
          <w:sz w:val="24"/>
          <w:szCs w:val="24"/>
        </w:rPr>
        <w:t xml:space="preserve"> les actes nécessaires au diagnostic de l’endométriose et à son traitement. Les</w:t>
      </w:r>
      <w:r w:rsidRPr="00D9363E">
        <w:rPr>
          <w:rFonts w:ascii="Times New Roman" w:eastAsia="Book Antiqua" w:hAnsi="Times New Roman" w:cs="Times New Roman"/>
          <w:bCs/>
          <w:color w:val="000000" w:themeColor="text1"/>
          <w:sz w:val="24"/>
          <w:szCs w:val="24"/>
        </w:rPr>
        <w:t xml:space="preserve"> bénéficiaires de ces actes et traitements sont dispensées de l’avance des frais. »</w:t>
      </w:r>
    </w:p>
    <w:p w14:paraId="7895A646" w14:textId="77777777" w:rsidR="000E3F1E" w:rsidRDefault="000E3F1E" w:rsidP="000E3F1E">
      <w:pPr>
        <w:pStyle w:val="Standard"/>
        <w:jc w:val="both"/>
        <w:rPr>
          <w:rFonts w:ascii="Times New Roman" w:hAnsi="Times New Roman" w:cs="Times New Roman"/>
          <w:bCs/>
          <w:color w:val="000000" w:themeColor="text1"/>
        </w:rPr>
      </w:pPr>
    </w:p>
    <w:p w14:paraId="2018C3B1" w14:textId="77777777" w:rsidR="000E3F1E" w:rsidRPr="005E258B" w:rsidRDefault="000E3F1E" w:rsidP="000E3F1E">
      <w:pPr>
        <w:pStyle w:val="Standard"/>
        <w:jc w:val="both"/>
        <w:rPr>
          <w:rFonts w:ascii="Times New Roman" w:hAnsi="Times New Roman" w:cs="Times New Roman"/>
          <w:bCs/>
          <w:color w:val="000000" w:themeColor="text1"/>
        </w:rPr>
      </w:pPr>
    </w:p>
    <w:p w14:paraId="7118254E" w14:textId="77777777" w:rsidR="000E3F1E" w:rsidRPr="00A437F4" w:rsidRDefault="000E3F1E" w:rsidP="000E3F1E">
      <w:pPr>
        <w:pStyle w:val="Standard"/>
        <w:jc w:val="center"/>
        <w:rPr>
          <w:rFonts w:ascii="Times New Roman" w:hAnsi="Times New Roman" w:cs="Times New Roman"/>
          <w:b/>
          <w:bCs/>
          <w:color w:val="000000" w:themeColor="text1"/>
        </w:rPr>
      </w:pPr>
      <w:r w:rsidRPr="00A437F4">
        <w:rPr>
          <w:rFonts w:ascii="Times New Roman" w:hAnsi="Times New Roman" w:cs="Times New Roman"/>
          <w:b/>
          <w:bCs/>
          <w:color w:val="000000" w:themeColor="text1"/>
        </w:rPr>
        <w:t>Article 3</w:t>
      </w:r>
    </w:p>
    <w:p w14:paraId="465C1088" w14:textId="77777777" w:rsidR="000E3F1E" w:rsidRPr="00734201" w:rsidRDefault="000E3F1E" w:rsidP="000E3F1E">
      <w:pPr>
        <w:pStyle w:val="Default"/>
        <w:jc w:val="both"/>
        <w:rPr>
          <w:rFonts w:eastAsia="Book Antiqua"/>
          <w:color w:val="auto"/>
          <w:lang w:eastAsia="en-US"/>
        </w:rPr>
      </w:pPr>
    </w:p>
    <w:p w14:paraId="54F2FA29" w14:textId="77777777" w:rsidR="000E3F1E" w:rsidRPr="00563B68" w:rsidRDefault="000E3F1E" w:rsidP="000E3F1E">
      <w:pPr>
        <w:pStyle w:val="Default"/>
        <w:jc w:val="both"/>
        <w:rPr>
          <w:rFonts w:eastAsia="Book Antiqua"/>
          <w:color w:val="auto"/>
          <w:lang w:eastAsia="en-US"/>
        </w:rPr>
      </w:pPr>
      <w:r w:rsidRPr="00734201">
        <w:rPr>
          <w:rFonts w:eastAsia="Book Antiqua"/>
          <w:color w:val="auto"/>
          <w:lang w:eastAsia="en-US"/>
        </w:rPr>
        <w:t xml:space="preserve">Après </w:t>
      </w:r>
      <w:r w:rsidRPr="00A51B90">
        <w:rPr>
          <w:rFonts w:eastAsia="Book Antiqua"/>
          <w:color w:val="auto"/>
          <w:lang w:eastAsia="en-US"/>
        </w:rPr>
        <w:t>le 12°</w:t>
      </w:r>
      <w:r>
        <w:rPr>
          <w:rFonts w:eastAsia="Book Antiqua"/>
          <w:color w:val="auto"/>
          <w:lang w:eastAsia="en-US"/>
        </w:rPr>
        <w:t xml:space="preserve"> de l’article L. </w:t>
      </w:r>
      <w:r w:rsidRPr="00734201">
        <w:rPr>
          <w:rFonts w:eastAsia="Book Antiqua"/>
          <w:color w:val="auto"/>
          <w:lang w:eastAsia="en-US"/>
        </w:rPr>
        <w:t>160-14 du code de la sécurité sociale</w:t>
      </w:r>
      <w:r>
        <w:rPr>
          <w:rFonts w:eastAsia="Book Antiqua"/>
          <w:color w:val="auto"/>
          <w:lang w:eastAsia="en-US"/>
        </w:rPr>
        <w:t>, il</w:t>
      </w:r>
      <w:r w:rsidRPr="00734201">
        <w:rPr>
          <w:rFonts w:eastAsia="Book Antiqua"/>
          <w:color w:val="auto"/>
          <w:lang w:eastAsia="en-US"/>
        </w:rPr>
        <w:t xml:space="preserve"> est inséré un </w:t>
      </w:r>
      <w:r>
        <w:rPr>
          <w:rFonts w:eastAsia="Book Antiqua"/>
          <w:color w:val="auto"/>
          <w:lang w:eastAsia="en-US"/>
        </w:rPr>
        <w:t xml:space="preserve">12° </w:t>
      </w:r>
      <w:r w:rsidRPr="00A51B90">
        <w:rPr>
          <w:rFonts w:eastAsia="Book Antiqua"/>
          <w:i/>
          <w:color w:val="auto"/>
          <w:lang w:eastAsia="en-US"/>
        </w:rPr>
        <w:t>bis</w:t>
      </w:r>
      <w:r w:rsidRPr="00734201">
        <w:rPr>
          <w:rFonts w:eastAsia="Book Antiqua"/>
          <w:color w:val="auto"/>
          <w:lang w:eastAsia="en-US"/>
        </w:rPr>
        <w:t xml:space="preserve"> ainsi rédigé : </w:t>
      </w:r>
    </w:p>
    <w:p w14:paraId="0873DF0C" w14:textId="77777777" w:rsidR="000E3F1E" w:rsidRDefault="000E3F1E" w:rsidP="000E3F1E">
      <w:pPr>
        <w:pStyle w:val="Default"/>
        <w:jc w:val="both"/>
        <w:rPr>
          <w:rFonts w:eastAsia="Book Antiqua"/>
          <w:color w:val="auto"/>
          <w:lang w:eastAsia="en-US"/>
        </w:rPr>
      </w:pPr>
    </w:p>
    <w:p w14:paraId="60409544" w14:textId="77777777" w:rsidR="000E3F1E" w:rsidRPr="00D9363E" w:rsidRDefault="000E3F1E" w:rsidP="000E3F1E">
      <w:pPr>
        <w:pStyle w:val="Default"/>
        <w:jc w:val="both"/>
      </w:pPr>
      <w:r w:rsidRPr="00D9363E">
        <w:rPr>
          <w:rFonts w:eastAsia="Book Antiqua"/>
          <w:color w:val="auto"/>
          <w:lang w:eastAsia="en-US"/>
        </w:rPr>
        <w:t xml:space="preserve">« 12° </w:t>
      </w:r>
      <w:r w:rsidRPr="00D9363E">
        <w:rPr>
          <w:rFonts w:eastAsia="Book Antiqua"/>
          <w:i/>
          <w:color w:val="auto"/>
          <w:lang w:eastAsia="en-US"/>
        </w:rPr>
        <w:t xml:space="preserve">bis </w:t>
      </w:r>
      <w:r w:rsidRPr="00D9363E">
        <w:t>Pour les consultations et les examens de prévention mentionnés à l’article</w:t>
      </w:r>
      <w:r w:rsidRPr="00D9363E">
        <w:rPr>
          <w:rFonts w:eastAsia="Book Antiqua"/>
          <w:color w:val="auto"/>
          <w:lang w:eastAsia="en-US"/>
        </w:rPr>
        <w:t xml:space="preserve"> L. 2132-2-2 du code de la santé publique ainsi que pour les traitements contraceptifs  prescrits dans le cadre de la lutte contre l’endométriose, et dans la limite </w:t>
      </w:r>
      <w:r w:rsidRPr="00D9363E">
        <w:t xml:space="preserve">des douze mois suivant, les examens </w:t>
      </w:r>
      <w:r w:rsidRPr="00D9363E">
        <w:rPr>
          <w:rFonts w:eastAsia="Book Antiqua"/>
          <w:color w:val="auto"/>
          <w:lang w:eastAsia="en-US"/>
        </w:rPr>
        <w:t>prévus au premier et au troisième alinéas du même article</w:t>
      </w:r>
      <w:r w:rsidRPr="00D9363E">
        <w:t>, les soins gynécologiques et les investigations nécessaires au diagnostic de l’endométriose et au traitement de celle-ci. »</w:t>
      </w:r>
    </w:p>
    <w:p w14:paraId="28AB3D9A" w14:textId="77777777" w:rsidR="000E3F1E" w:rsidRDefault="000E3F1E" w:rsidP="000E3F1E">
      <w:pPr>
        <w:pStyle w:val="Standard"/>
        <w:jc w:val="both"/>
        <w:rPr>
          <w:rFonts w:ascii="Times New Roman" w:hAnsi="Times New Roman" w:cs="Times New Roman"/>
          <w:color w:val="000000" w:themeColor="text1"/>
          <w:shd w:val="clear" w:color="auto" w:fill="FFFFFF"/>
        </w:rPr>
      </w:pPr>
    </w:p>
    <w:p w14:paraId="4C670600" w14:textId="77777777" w:rsidR="000E3F1E" w:rsidRPr="00A437F4" w:rsidRDefault="000E3F1E" w:rsidP="000E3F1E">
      <w:pPr>
        <w:pStyle w:val="Standard"/>
        <w:jc w:val="both"/>
        <w:rPr>
          <w:rFonts w:ascii="Times New Roman" w:hAnsi="Times New Roman" w:cs="Times New Roman"/>
          <w:color w:val="000000" w:themeColor="text1"/>
        </w:rPr>
      </w:pPr>
    </w:p>
    <w:p w14:paraId="275E0BAA" w14:textId="77777777" w:rsidR="000E3F1E" w:rsidRPr="00A437F4" w:rsidRDefault="000E3F1E" w:rsidP="000E3F1E">
      <w:pPr>
        <w:pStyle w:val="Standard"/>
        <w:jc w:val="center"/>
        <w:rPr>
          <w:rFonts w:ascii="Times New Roman" w:hAnsi="Times New Roman" w:cs="Times New Roman"/>
          <w:b/>
          <w:bCs/>
          <w:color w:val="000000" w:themeColor="text1"/>
        </w:rPr>
      </w:pPr>
      <w:r w:rsidRPr="00A437F4">
        <w:rPr>
          <w:rFonts w:ascii="Times New Roman" w:hAnsi="Times New Roman" w:cs="Times New Roman"/>
          <w:b/>
          <w:bCs/>
          <w:color w:val="000000" w:themeColor="text1"/>
        </w:rPr>
        <w:t>Article 4</w:t>
      </w:r>
    </w:p>
    <w:p w14:paraId="5DF22E2E" w14:textId="77777777" w:rsidR="000E3F1E" w:rsidRPr="00734201" w:rsidRDefault="000E3F1E" w:rsidP="000E3F1E">
      <w:pPr>
        <w:pStyle w:val="Default"/>
        <w:rPr>
          <w:rFonts w:eastAsia="Book Antiqua"/>
          <w:b/>
          <w:color w:val="auto"/>
          <w:lang w:eastAsia="en-US"/>
        </w:rPr>
      </w:pPr>
    </w:p>
    <w:p w14:paraId="2EE2881C" w14:textId="77777777" w:rsidR="000E3F1E" w:rsidRPr="004A616E" w:rsidRDefault="000E3F1E" w:rsidP="000E3F1E">
      <w:pPr>
        <w:pStyle w:val="Default"/>
        <w:jc w:val="both"/>
        <w:rPr>
          <w:rFonts w:eastAsia="Book Antiqua"/>
          <w:bCs/>
          <w:color w:val="auto"/>
          <w:lang w:eastAsia="en-US"/>
        </w:rPr>
      </w:pPr>
      <w:r w:rsidRPr="004A616E">
        <w:rPr>
          <w:rFonts w:eastAsia="Book Antiqua"/>
          <w:bCs/>
          <w:color w:val="auto"/>
          <w:lang w:eastAsia="en-US"/>
        </w:rPr>
        <w:t xml:space="preserve">L’article L. 160-8 du code de la sécurité sociale est complété par un alinéa ainsi rédigé : </w:t>
      </w:r>
    </w:p>
    <w:p w14:paraId="438C5524" w14:textId="77777777" w:rsidR="000E3F1E" w:rsidRPr="004A616E" w:rsidRDefault="000E3F1E" w:rsidP="000E3F1E">
      <w:pPr>
        <w:pStyle w:val="Default"/>
        <w:jc w:val="both"/>
        <w:rPr>
          <w:rFonts w:eastAsia="Book Antiqua"/>
          <w:bCs/>
          <w:color w:val="auto"/>
          <w:lang w:eastAsia="en-US"/>
        </w:rPr>
      </w:pPr>
    </w:p>
    <w:p w14:paraId="79AB1E0A" w14:textId="77777777" w:rsidR="000E3F1E" w:rsidRPr="00D9363E" w:rsidRDefault="000E3F1E" w:rsidP="000E3F1E">
      <w:pPr>
        <w:pStyle w:val="Default"/>
        <w:jc w:val="both"/>
        <w:rPr>
          <w:rFonts w:eastAsia="Book Antiqua"/>
          <w:bCs/>
          <w:color w:val="auto"/>
          <w:lang w:eastAsia="en-US"/>
        </w:rPr>
      </w:pPr>
      <w:r w:rsidRPr="00D9363E">
        <w:rPr>
          <w:rFonts w:eastAsia="Book Antiqua"/>
          <w:bCs/>
          <w:color w:val="auto"/>
          <w:lang w:eastAsia="en-US"/>
        </w:rPr>
        <w:t xml:space="preserve">« 7° La couverture des frais relatifs aux consultations et aux examens de prévention mentionnés à l’article L. 2132-2-2 du code de la santé publique, ainsi qu’aux traitements contraceptifs prescrits dans le cadre de la lutte contre l’endométriose, et dans la limite </w:t>
      </w:r>
      <w:r w:rsidRPr="00D9363E">
        <w:rPr>
          <w:bCs/>
        </w:rPr>
        <w:t xml:space="preserve">des douze mois suivant les examens </w:t>
      </w:r>
      <w:r w:rsidRPr="00D9363E">
        <w:rPr>
          <w:rFonts w:eastAsia="Book Antiqua"/>
          <w:bCs/>
          <w:color w:val="auto"/>
          <w:lang w:eastAsia="en-US"/>
        </w:rPr>
        <w:t>prévus au premier et au troisième alinéas du même article</w:t>
      </w:r>
      <w:r w:rsidRPr="00D9363E">
        <w:rPr>
          <w:bCs/>
        </w:rPr>
        <w:t>, les soins gynécologiques et les investigations nécessaires au diagnostic de l’endométriose et au traitement de celle-ci.</w:t>
      </w:r>
      <w:r w:rsidRPr="00D9363E">
        <w:rPr>
          <w:rFonts w:eastAsia="Book Antiqua"/>
          <w:bCs/>
          <w:color w:val="auto"/>
          <w:lang w:eastAsia="en-US"/>
        </w:rPr>
        <w:t> »</w:t>
      </w:r>
    </w:p>
    <w:p w14:paraId="34AC6F47" w14:textId="77777777" w:rsidR="000E3F1E" w:rsidRDefault="000E3F1E" w:rsidP="000E3F1E">
      <w:pPr>
        <w:pStyle w:val="Default"/>
        <w:jc w:val="both"/>
        <w:rPr>
          <w:rFonts w:eastAsia="Book Antiqua"/>
          <w:b/>
          <w:color w:val="auto"/>
          <w:lang w:eastAsia="en-US"/>
        </w:rPr>
      </w:pPr>
    </w:p>
    <w:p w14:paraId="5635C431" w14:textId="77777777" w:rsidR="000E3F1E" w:rsidRDefault="000E3F1E" w:rsidP="000E3F1E">
      <w:pPr>
        <w:pStyle w:val="Default"/>
        <w:jc w:val="both"/>
        <w:rPr>
          <w:rFonts w:eastAsia="Book Antiqua"/>
          <w:b/>
          <w:color w:val="auto"/>
          <w:lang w:eastAsia="en-US"/>
        </w:rPr>
      </w:pPr>
    </w:p>
    <w:p w14:paraId="67B47DFD" w14:textId="10D773CA" w:rsidR="000E3F1E" w:rsidRDefault="000E3F1E" w:rsidP="000E3F1E">
      <w:pPr>
        <w:pStyle w:val="Standard"/>
        <w:jc w:val="center"/>
        <w:rPr>
          <w:rFonts w:ascii="Times New Roman" w:hAnsi="Times New Roman" w:cs="Times New Roman"/>
          <w:b/>
          <w:bCs/>
          <w:color w:val="000000" w:themeColor="text1"/>
        </w:rPr>
      </w:pPr>
      <w:r w:rsidRPr="00A437F4">
        <w:rPr>
          <w:rFonts w:ascii="Times New Roman" w:hAnsi="Times New Roman" w:cs="Times New Roman"/>
          <w:b/>
          <w:bCs/>
          <w:color w:val="000000" w:themeColor="text1"/>
        </w:rPr>
        <w:t xml:space="preserve">Article </w:t>
      </w:r>
      <w:r>
        <w:rPr>
          <w:rFonts w:ascii="Times New Roman" w:hAnsi="Times New Roman" w:cs="Times New Roman"/>
          <w:b/>
          <w:bCs/>
          <w:color w:val="000000" w:themeColor="text1"/>
        </w:rPr>
        <w:t>5</w:t>
      </w:r>
    </w:p>
    <w:p w14:paraId="3481C721" w14:textId="71C1000C" w:rsidR="00453990" w:rsidRDefault="00453990" w:rsidP="000E3F1E">
      <w:pPr>
        <w:pStyle w:val="Standard"/>
        <w:jc w:val="center"/>
        <w:rPr>
          <w:rFonts w:ascii="Times New Roman" w:hAnsi="Times New Roman" w:cs="Times New Roman"/>
          <w:b/>
          <w:bCs/>
          <w:color w:val="000000" w:themeColor="text1"/>
        </w:rPr>
      </w:pPr>
    </w:p>
    <w:p w14:paraId="67C9952C" w14:textId="1B832103" w:rsidR="002D30FC" w:rsidRDefault="00453990" w:rsidP="00453990">
      <w:pPr>
        <w:jc w:val="both"/>
        <w:rPr>
          <w:rFonts w:ascii="Times New Roman" w:eastAsia="Times New Roman" w:hAnsi="Times New Roman" w:cs="Times New Roman"/>
          <w:color w:val="000000" w:themeColor="text1"/>
          <w:sz w:val="24"/>
          <w:szCs w:val="24"/>
          <w:bdr w:val="none" w:sz="0" w:space="0" w:color="auto" w:frame="1"/>
          <w:lang w:eastAsia="fr-FR"/>
        </w:rPr>
      </w:pPr>
      <w:r>
        <w:rPr>
          <w:rFonts w:ascii="Times New Roman" w:eastAsia="Times New Roman" w:hAnsi="Times New Roman" w:cs="Times New Roman"/>
          <w:color w:val="000000" w:themeColor="text1"/>
          <w:sz w:val="24"/>
          <w:szCs w:val="24"/>
          <w:bdr w:val="none" w:sz="0" w:space="0" w:color="auto" w:frame="1"/>
          <w:lang w:eastAsia="fr-FR"/>
        </w:rPr>
        <w:t xml:space="preserve">Après la </w:t>
      </w:r>
      <w:r w:rsidR="002D30FC">
        <w:rPr>
          <w:rFonts w:ascii="Times New Roman" w:eastAsia="Times New Roman" w:hAnsi="Times New Roman" w:cs="Times New Roman"/>
          <w:color w:val="000000" w:themeColor="text1"/>
          <w:sz w:val="24"/>
          <w:szCs w:val="24"/>
          <w:bdr w:val="none" w:sz="0" w:space="0" w:color="auto" w:frame="1"/>
          <w:lang w:eastAsia="fr-FR"/>
        </w:rPr>
        <w:t>troisième</w:t>
      </w:r>
      <w:r>
        <w:rPr>
          <w:rFonts w:ascii="Times New Roman" w:eastAsia="Times New Roman" w:hAnsi="Times New Roman" w:cs="Times New Roman"/>
          <w:color w:val="000000" w:themeColor="text1"/>
          <w:sz w:val="24"/>
          <w:szCs w:val="24"/>
          <w:bdr w:val="none" w:sz="0" w:space="0" w:color="auto" w:frame="1"/>
          <w:lang w:eastAsia="fr-FR"/>
        </w:rPr>
        <w:t xml:space="preserve"> phrase d</w:t>
      </w:r>
      <w:r w:rsidR="002D30FC">
        <w:rPr>
          <w:rFonts w:ascii="Times New Roman" w:eastAsia="Times New Roman" w:hAnsi="Times New Roman" w:cs="Times New Roman"/>
          <w:color w:val="000000" w:themeColor="text1"/>
          <w:sz w:val="24"/>
          <w:szCs w:val="24"/>
          <w:bdr w:val="none" w:sz="0" w:space="0" w:color="auto" w:frame="1"/>
          <w:lang w:eastAsia="fr-FR"/>
        </w:rPr>
        <w:t>u premier alinéa de</w:t>
      </w:r>
      <w:r>
        <w:rPr>
          <w:rFonts w:ascii="Times New Roman" w:eastAsia="Times New Roman" w:hAnsi="Times New Roman" w:cs="Times New Roman"/>
          <w:color w:val="000000" w:themeColor="text1"/>
          <w:sz w:val="24"/>
          <w:szCs w:val="24"/>
          <w:bdr w:val="none" w:sz="0" w:space="0" w:color="auto" w:frame="1"/>
          <w:lang w:eastAsia="fr-FR"/>
        </w:rPr>
        <w:t xml:space="preserve"> l</w:t>
      </w:r>
      <w:r>
        <w:rPr>
          <w:rFonts w:ascii="Times New Roman" w:eastAsia="Times New Roman" w:hAnsi="Times New Roman" w:cs="Times New Roman"/>
          <w:color w:val="000000" w:themeColor="text1"/>
          <w:sz w:val="24"/>
          <w:szCs w:val="24"/>
          <w:bdr w:val="none" w:sz="0" w:space="0" w:color="auto" w:frame="1"/>
          <w:lang w:eastAsia="fr-FR"/>
        </w:rPr>
        <w:t>’article L. 632-1 du code de l’éducation</w:t>
      </w:r>
      <w:r>
        <w:rPr>
          <w:rFonts w:ascii="Times New Roman" w:eastAsia="Times New Roman" w:hAnsi="Times New Roman" w:cs="Times New Roman"/>
          <w:color w:val="000000" w:themeColor="text1"/>
          <w:sz w:val="24"/>
          <w:szCs w:val="24"/>
          <w:bdr w:val="none" w:sz="0" w:space="0" w:color="auto" w:frame="1"/>
          <w:lang w:eastAsia="fr-FR"/>
        </w:rPr>
        <w:t>, il est inséré une nouvelle phrase ainsi rédigée :</w:t>
      </w:r>
    </w:p>
    <w:p w14:paraId="6CD83EB6" w14:textId="641BFF11" w:rsidR="00453990" w:rsidRPr="002D30FC" w:rsidRDefault="002D30FC" w:rsidP="00453990">
      <w:pPr>
        <w:jc w:val="both"/>
        <w:rPr>
          <w:rFonts w:ascii="Times New Roman" w:eastAsia="Times New Roman" w:hAnsi="Times New Roman" w:cs="Times New Roman"/>
          <w:color w:val="000000" w:themeColor="text1"/>
          <w:sz w:val="24"/>
          <w:szCs w:val="24"/>
          <w:bdr w:val="none" w:sz="0" w:space="0" w:color="auto" w:frame="1"/>
          <w:lang w:eastAsia="fr-FR"/>
        </w:rPr>
      </w:pPr>
      <w:r>
        <w:rPr>
          <w:rFonts w:ascii="Times New Roman" w:eastAsia="Times New Roman" w:hAnsi="Times New Roman" w:cs="Times New Roman"/>
          <w:color w:val="000000" w:themeColor="text1"/>
          <w:sz w:val="24"/>
          <w:szCs w:val="24"/>
          <w:bdr w:val="none" w:sz="0" w:space="0" w:color="auto" w:frame="1"/>
          <w:lang w:eastAsia="fr-FR"/>
        </w:rPr>
        <w:t xml:space="preserve">« Elles comprennent </w:t>
      </w:r>
      <w:r w:rsidR="00453990" w:rsidRPr="00453990">
        <w:rPr>
          <w:rFonts w:ascii="Times New Roman" w:eastAsia="Times New Roman" w:hAnsi="Times New Roman" w:cs="Times New Roman"/>
          <w:color w:val="000000" w:themeColor="text1"/>
          <w:sz w:val="24"/>
          <w:szCs w:val="24"/>
          <w:bdr w:val="none" w:sz="0" w:space="0" w:color="auto" w:frame="1"/>
          <w:lang w:eastAsia="fr-FR"/>
        </w:rPr>
        <w:t>un module de sensibilisation à la prévention de l’endométriose</w:t>
      </w:r>
      <w:r>
        <w:rPr>
          <w:rFonts w:ascii="Times New Roman" w:eastAsia="Times New Roman" w:hAnsi="Times New Roman" w:cs="Times New Roman"/>
          <w:color w:val="000000" w:themeColor="text1"/>
          <w:sz w:val="24"/>
          <w:szCs w:val="24"/>
          <w:bdr w:val="none" w:sz="0" w:space="0" w:color="auto" w:frame="1"/>
          <w:lang w:eastAsia="fr-FR"/>
        </w:rPr>
        <w:t>. »</w:t>
      </w:r>
    </w:p>
    <w:p w14:paraId="142BBC01" w14:textId="014A7DD5" w:rsidR="00453990" w:rsidRDefault="00453990" w:rsidP="000E3F1E">
      <w:pPr>
        <w:pStyle w:val="Standard"/>
        <w:jc w:val="center"/>
        <w:rPr>
          <w:rFonts w:ascii="Times New Roman" w:hAnsi="Times New Roman" w:cs="Times New Roman"/>
          <w:b/>
          <w:bCs/>
          <w:color w:val="000000" w:themeColor="text1"/>
        </w:rPr>
      </w:pPr>
    </w:p>
    <w:p w14:paraId="21C9FE57" w14:textId="77777777" w:rsidR="00453990" w:rsidRPr="00A437F4" w:rsidRDefault="00453990" w:rsidP="000E3F1E">
      <w:pPr>
        <w:pStyle w:val="Standard"/>
        <w:jc w:val="center"/>
        <w:rPr>
          <w:rFonts w:ascii="Times New Roman" w:hAnsi="Times New Roman" w:cs="Times New Roman"/>
          <w:b/>
          <w:bCs/>
          <w:color w:val="000000" w:themeColor="text1"/>
        </w:rPr>
      </w:pPr>
    </w:p>
    <w:p w14:paraId="51345188" w14:textId="3788D684" w:rsidR="00453990" w:rsidRDefault="00453990" w:rsidP="00453990">
      <w:pPr>
        <w:pStyle w:val="Standard"/>
        <w:jc w:val="center"/>
        <w:rPr>
          <w:rFonts w:ascii="Times New Roman" w:hAnsi="Times New Roman" w:cs="Times New Roman"/>
          <w:b/>
          <w:bCs/>
          <w:color w:val="000000" w:themeColor="text1"/>
        </w:rPr>
      </w:pPr>
      <w:r w:rsidRPr="00A437F4">
        <w:rPr>
          <w:rFonts w:ascii="Times New Roman" w:hAnsi="Times New Roman" w:cs="Times New Roman"/>
          <w:b/>
          <w:bCs/>
          <w:color w:val="000000" w:themeColor="text1"/>
        </w:rPr>
        <w:t xml:space="preserve">Article </w:t>
      </w:r>
      <w:r>
        <w:rPr>
          <w:rFonts w:ascii="Times New Roman" w:hAnsi="Times New Roman" w:cs="Times New Roman"/>
          <w:b/>
          <w:bCs/>
          <w:color w:val="000000" w:themeColor="text1"/>
        </w:rPr>
        <w:t>6</w:t>
      </w:r>
    </w:p>
    <w:p w14:paraId="12524C39" w14:textId="77777777" w:rsidR="000E3F1E" w:rsidRDefault="000E3F1E" w:rsidP="000E3F1E">
      <w:pPr>
        <w:pStyle w:val="Default"/>
        <w:jc w:val="both"/>
        <w:rPr>
          <w:rFonts w:eastAsia="Book Antiqua"/>
          <w:b/>
          <w:color w:val="auto"/>
          <w:lang w:eastAsia="en-US"/>
        </w:rPr>
      </w:pPr>
    </w:p>
    <w:p w14:paraId="7A42DD1A" w14:textId="77777777" w:rsidR="000E3F1E" w:rsidRPr="005E258B" w:rsidRDefault="000E3F1E" w:rsidP="000E3F1E">
      <w:pPr>
        <w:pStyle w:val="Default"/>
        <w:rPr>
          <w:rFonts w:eastAsia="Book Antiqua"/>
          <w:bCs/>
          <w:color w:val="auto"/>
          <w:lang w:eastAsia="en-US"/>
        </w:rPr>
      </w:pPr>
      <w:r w:rsidRPr="005E258B">
        <w:rPr>
          <w:rFonts w:eastAsia="Book Antiqua"/>
          <w:bCs/>
          <w:color w:val="auto"/>
          <w:lang w:eastAsia="en-US"/>
        </w:rPr>
        <w:t>La présente proposition de loi entre en vigueur au 1</w:t>
      </w:r>
      <w:r w:rsidRPr="005E258B">
        <w:rPr>
          <w:rFonts w:eastAsia="Book Antiqua"/>
          <w:bCs/>
          <w:color w:val="auto"/>
          <w:vertAlign w:val="superscript"/>
          <w:lang w:eastAsia="en-US"/>
        </w:rPr>
        <w:t>er</w:t>
      </w:r>
      <w:r w:rsidRPr="005E258B">
        <w:rPr>
          <w:rFonts w:eastAsia="Book Antiqua"/>
          <w:bCs/>
          <w:color w:val="auto"/>
          <w:lang w:eastAsia="en-US"/>
        </w:rPr>
        <w:t xml:space="preserve"> janvier 2023.</w:t>
      </w:r>
    </w:p>
    <w:p w14:paraId="722929B3" w14:textId="77777777" w:rsidR="000E3F1E" w:rsidRDefault="000E3F1E" w:rsidP="000E3F1E">
      <w:pPr>
        <w:pStyle w:val="Default"/>
        <w:jc w:val="both"/>
        <w:rPr>
          <w:rFonts w:eastAsia="Book Antiqua"/>
          <w:b/>
          <w:color w:val="auto"/>
          <w:lang w:eastAsia="en-US"/>
        </w:rPr>
      </w:pPr>
    </w:p>
    <w:p w14:paraId="3031B097" w14:textId="77777777" w:rsidR="000E3F1E" w:rsidRDefault="000E3F1E" w:rsidP="000E3F1E">
      <w:pPr>
        <w:pStyle w:val="Default"/>
        <w:jc w:val="both"/>
        <w:rPr>
          <w:rFonts w:eastAsia="Book Antiqua"/>
          <w:b/>
          <w:color w:val="auto"/>
          <w:lang w:eastAsia="en-US"/>
        </w:rPr>
      </w:pPr>
    </w:p>
    <w:p w14:paraId="7D504E5E" w14:textId="148B4C43" w:rsidR="000E3F1E" w:rsidRPr="00A437F4" w:rsidRDefault="000E3F1E" w:rsidP="000E3F1E">
      <w:pPr>
        <w:pStyle w:val="Standard"/>
        <w:jc w:val="center"/>
        <w:rPr>
          <w:rFonts w:ascii="Times New Roman" w:hAnsi="Times New Roman" w:cs="Times New Roman"/>
          <w:b/>
          <w:bCs/>
          <w:color w:val="000000" w:themeColor="text1"/>
        </w:rPr>
      </w:pPr>
      <w:r w:rsidRPr="00A437F4">
        <w:rPr>
          <w:rFonts w:ascii="Times New Roman" w:hAnsi="Times New Roman" w:cs="Times New Roman"/>
          <w:b/>
          <w:bCs/>
          <w:color w:val="000000" w:themeColor="text1"/>
        </w:rPr>
        <w:t xml:space="preserve">Article </w:t>
      </w:r>
      <w:r w:rsidR="00453990">
        <w:rPr>
          <w:rFonts w:ascii="Times New Roman" w:hAnsi="Times New Roman" w:cs="Times New Roman"/>
          <w:b/>
          <w:bCs/>
          <w:color w:val="000000" w:themeColor="text1"/>
        </w:rPr>
        <w:t>7</w:t>
      </w:r>
    </w:p>
    <w:p w14:paraId="0CDB7139" w14:textId="77777777" w:rsidR="000E3F1E" w:rsidRPr="00A437F4" w:rsidRDefault="000E3F1E" w:rsidP="000E3F1E">
      <w:pPr>
        <w:pStyle w:val="Standard"/>
        <w:jc w:val="center"/>
        <w:rPr>
          <w:rFonts w:ascii="Times New Roman" w:hAnsi="Times New Roman" w:cs="Times New Roman"/>
          <w:color w:val="000000" w:themeColor="text1"/>
        </w:rPr>
      </w:pPr>
    </w:p>
    <w:p w14:paraId="599361F6" w14:textId="77777777" w:rsidR="000E3F1E" w:rsidRDefault="000E3F1E" w:rsidP="000E3F1E">
      <w:pPr>
        <w:pStyle w:val="assnatloitexte"/>
        <w:spacing w:before="0" w:beforeAutospacing="0" w:after="0" w:afterAutospacing="0"/>
        <w:jc w:val="both"/>
        <w:rPr>
          <w:color w:val="000000" w:themeColor="text1"/>
        </w:rPr>
      </w:pPr>
      <w:r w:rsidRPr="00A437F4">
        <w:rPr>
          <w:color w:val="000000" w:themeColor="text1"/>
        </w:rPr>
        <w:t>I. – Les charges qui pourraient résulter pour l’État de l’application de la présente loi sont compensées, à due concurrence, par la création d’une taxe additionnelle aux droits mentionnés aux articles 575 et 575 A du code général des impôts.</w:t>
      </w:r>
    </w:p>
    <w:p w14:paraId="0621F46F" w14:textId="77777777" w:rsidR="000E3F1E" w:rsidRPr="00A437F4" w:rsidRDefault="000E3F1E" w:rsidP="000E3F1E">
      <w:pPr>
        <w:pStyle w:val="assnatloitexte"/>
        <w:spacing w:before="0" w:beforeAutospacing="0" w:after="0" w:afterAutospacing="0"/>
        <w:jc w:val="both"/>
        <w:rPr>
          <w:color w:val="000000" w:themeColor="text1"/>
        </w:rPr>
      </w:pPr>
    </w:p>
    <w:p w14:paraId="5FAB0689" w14:textId="77777777" w:rsidR="000E3F1E" w:rsidRDefault="000E3F1E" w:rsidP="000E3F1E">
      <w:pPr>
        <w:pStyle w:val="assnatloitexte"/>
        <w:spacing w:before="0" w:beforeAutospacing="0" w:after="0" w:afterAutospacing="0"/>
        <w:jc w:val="both"/>
        <w:rPr>
          <w:color w:val="000000" w:themeColor="text1"/>
        </w:rPr>
      </w:pPr>
      <w:r w:rsidRPr="00A437F4">
        <w:rPr>
          <w:color w:val="000000" w:themeColor="text1"/>
        </w:rPr>
        <w:lastRenderedPageBreak/>
        <w:t>II. – Les charges qui pourraient résulter pour les collectivités territoriales de l’application de la présente loi sont compensées à due concurrence par la majoration de la dotation globale de fonctionnement et, corrélativement pour l’État, par la création d’une taxe additionnelle aux droits mentionnés aux articles 575 et 575 A du code général des impôts.</w:t>
      </w:r>
    </w:p>
    <w:p w14:paraId="3F26A929" w14:textId="77777777" w:rsidR="000E3F1E" w:rsidRPr="00A437F4" w:rsidRDefault="000E3F1E" w:rsidP="000E3F1E">
      <w:pPr>
        <w:pStyle w:val="assnatloitexte"/>
        <w:spacing w:before="0" w:beforeAutospacing="0" w:after="0" w:afterAutospacing="0"/>
        <w:jc w:val="both"/>
        <w:rPr>
          <w:color w:val="000000" w:themeColor="text1"/>
        </w:rPr>
      </w:pPr>
    </w:p>
    <w:p w14:paraId="2847D7C9" w14:textId="356C6900" w:rsidR="00A31C8A" w:rsidRPr="00A437F4" w:rsidRDefault="000E3F1E" w:rsidP="000E3F1E">
      <w:pPr>
        <w:pStyle w:val="assnatloitexte"/>
        <w:spacing w:before="0" w:beforeAutospacing="0" w:after="0" w:afterAutospacing="0"/>
        <w:jc w:val="both"/>
        <w:rPr>
          <w:color w:val="000000" w:themeColor="text1"/>
        </w:rPr>
      </w:pPr>
      <w:r w:rsidRPr="00A437F4">
        <w:rPr>
          <w:color w:val="000000" w:themeColor="text1"/>
        </w:rPr>
        <w:t>III. – Les charges qui pourraient résulter pour les organismes de sécurité sociale de l’application de la présente loi sont compensées par la création d’une taxe additionnelle aux droits mentionnés aux articles 575 et 575 A du code général des impôts.</w:t>
      </w:r>
    </w:p>
    <w:sectPr w:rsidR="00A31C8A" w:rsidRPr="00A437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C782F"/>
    <w:multiLevelType w:val="hybridMultilevel"/>
    <w:tmpl w:val="F44A52A6"/>
    <w:lvl w:ilvl="0" w:tplc="556A5E4A">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2DD239F"/>
    <w:multiLevelType w:val="multilevel"/>
    <w:tmpl w:val="ACCE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C77C1"/>
    <w:multiLevelType w:val="multilevel"/>
    <w:tmpl w:val="D298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D7BB7"/>
    <w:multiLevelType w:val="hybridMultilevel"/>
    <w:tmpl w:val="E9C01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126EAC"/>
    <w:multiLevelType w:val="multilevel"/>
    <w:tmpl w:val="F484F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22"/>
    <w:rsid w:val="00040FE2"/>
    <w:rsid w:val="0004430F"/>
    <w:rsid w:val="00071F6E"/>
    <w:rsid w:val="0007301D"/>
    <w:rsid w:val="000E3F1E"/>
    <w:rsid w:val="0010147B"/>
    <w:rsid w:val="00183D5B"/>
    <w:rsid w:val="001B6741"/>
    <w:rsid w:val="001D64CE"/>
    <w:rsid w:val="001E64C6"/>
    <w:rsid w:val="0021109F"/>
    <w:rsid w:val="00217D1B"/>
    <w:rsid w:val="002D30FC"/>
    <w:rsid w:val="00317C84"/>
    <w:rsid w:val="003372EC"/>
    <w:rsid w:val="00384E69"/>
    <w:rsid w:val="0038578D"/>
    <w:rsid w:val="00385945"/>
    <w:rsid w:val="003A3436"/>
    <w:rsid w:val="00405684"/>
    <w:rsid w:val="00415FA3"/>
    <w:rsid w:val="00425FE1"/>
    <w:rsid w:val="00453990"/>
    <w:rsid w:val="00454BEF"/>
    <w:rsid w:val="004961C4"/>
    <w:rsid w:val="004A616E"/>
    <w:rsid w:val="00507BE7"/>
    <w:rsid w:val="00560F0D"/>
    <w:rsid w:val="00563B68"/>
    <w:rsid w:val="005723AC"/>
    <w:rsid w:val="00575CBB"/>
    <w:rsid w:val="00592423"/>
    <w:rsid w:val="005E258B"/>
    <w:rsid w:val="005F63F4"/>
    <w:rsid w:val="00626414"/>
    <w:rsid w:val="00633A3E"/>
    <w:rsid w:val="0065387A"/>
    <w:rsid w:val="006D703C"/>
    <w:rsid w:val="00733753"/>
    <w:rsid w:val="00733F46"/>
    <w:rsid w:val="00746B88"/>
    <w:rsid w:val="00752AF8"/>
    <w:rsid w:val="00763784"/>
    <w:rsid w:val="00795C31"/>
    <w:rsid w:val="007A4A58"/>
    <w:rsid w:val="007A7363"/>
    <w:rsid w:val="007C3544"/>
    <w:rsid w:val="00824C8C"/>
    <w:rsid w:val="008319DF"/>
    <w:rsid w:val="00834170"/>
    <w:rsid w:val="0084266F"/>
    <w:rsid w:val="0086453E"/>
    <w:rsid w:val="00880123"/>
    <w:rsid w:val="00926665"/>
    <w:rsid w:val="009873FC"/>
    <w:rsid w:val="009A312B"/>
    <w:rsid w:val="009B61F8"/>
    <w:rsid w:val="009C26E2"/>
    <w:rsid w:val="009D18A2"/>
    <w:rsid w:val="009E1153"/>
    <w:rsid w:val="009E5EE8"/>
    <w:rsid w:val="00A00265"/>
    <w:rsid w:val="00A06D0E"/>
    <w:rsid w:val="00A24817"/>
    <w:rsid w:val="00A275CE"/>
    <w:rsid w:val="00A31C8A"/>
    <w:rsid w:val="00A437F4"/>
    <w:rsid w:val="00A46487"/>
    <w:rsid w:val="00A60CD1"/>
    <w:rsid w:val="00A70A36"/>
    <w:rsid w:val="00A82679"/>
    <w:rsid w:val="00A87D22"/>
    <w:rsid w:val="00A93CA2"/>
    <w:rsid w:val="00AA717D"/>
    <w:rsid w:val="00AC2778"/>
    <w:rsid w:val="00AD3440"/>
    <w:rsid w:val="00B312E3"/>
    <w:rsid w:val="00B3490F"/>
    <w:rsid w:val="00B402A7"/>
    <w:rsid w:val="00B71C0D"/>
    <w:rsid w:val="00B928AB"/>
    <w:rsid w:val="00BA337D"/>
    <w:rsid w:val="00BE25BD"/>
    <w:rsid w:val="00C02DDB"/>
    <w:rsid w:val="00C04FFB"/>
    <w:rsid w:val="00C30C1F"/>
    <w:rsid w:val="00C56370"/>
    <w:rsid w:val="00C57270"/>
    <w:rsid w:val="00CA1F20"/>
    <w:rsid w:val="00CB7861"/>
    <w:rsid w:val="00CE1E57"/>
    <w:rsid w:val="00D51D86"/>
    <w:rsid w:val="00D56EDE"/>
    <w:rsid w:val="00D974E1"/>
    <w:rsid w:val="00DB1757"/>
    <w:rsid w:val="00E04DFC"/>
    <w:rsid w:val="00E71B8E"/>
    <w:rsid w:val="00EE19DE"/>
    <w:rsid w:val="00F0701B"/>
    <w:rsid w:val="00F20B03"/>
    <w:rsid w:val="00F242AD"/>
    <w:rsid w:val="00F45304"/>
    <w:rsid w:val="00F84CF1"/>
    <w:rsid w:val="00F9684D"/>
    <w:rsid w:val="00FA6822"/>
    <w:rsid w:val="00FB19B9"/>
    <w:rsid w:val="00FC0434"/>
    <w:rsid w:val="00FD07DF"/>
    <w:rsid w:val="00FE63A7"/>
    <w:rsid w:val="00FF5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F338"/>
  <w15:chartTrackingRefBased/>
  <w15:docId w15:val="{F0A028CB-304A-492E-93C5-E0EE0954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C26E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48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24817"/>
    <w:rPr>
      <w:b/>
      <w:bCs/>
    </w:rPr>
  </w:style>
  <w:style w:type="character" w:styleId="Accentuation">
    <w:name w:val="Emphasis"/>
    <w:basedOn w:val="Policepardfaut"/>
    <w:uiPriority w:val="20"/>
    <w:qFormat/>
    <w:rsid w:val="00071F6E"/>
    <w:rPr>
      <w:i/>
      <w:iCs/>
    </w:rPr>
  </w:style>
  <w:style w:type="paragraph" w:customStyle="1" w:styleId="rtejustify">
    <w:name w:val="rtejustify"/>
    <w:basedOn w:val="Normal"/>
    <w:rsid w:val="00071F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Policepardfaut"/>
    <w:rsid w:val="00DB1757"/>
  </w:style>
  <w:style w:type="character" w:styleId="Lienhypertexte">
    <w:name w:val="Hyperlink"/>
    <w:basedOn w:val="Policepardfaut"/>
    <w:uiPriority w:val="99"/>
    <w:semiHidden/>
    <w:unhideWhenUsed/>
    <w:rsid w:val="00DB1757"/>
    <w:rPr>
      <w:color w:val="0000FF"/>
      <w:u w:val="single"/>
    </w:rPr>
  </w:style>
  <w:style w:type="paragraph" w:styleId="Textedebulles">
    <w:name w:val="Balloon Text"/>
    <w:basedOn w:val="Normal"/>
    <w:link w:val="TextedebullesCar"/>
    <w:uiPriority w:val="99"/>
    <w:semiHidden/>
    <w:unhideWhenUsed/>
    <w:rsid w:val="00A464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487"/>
    <w:rPr>
      <w:rFonts w:ascii="Segoe UI" w:hAnsi="Segoe UI" w:cs="Segoe UI"/>
      <w:sz w:val="18"/>
      <w:szCs w:val="18"/>
    </w:rPr>
  </w:style>
  <w:style w:type="character" w:customStyle="1" w:styleId="Titre2Car">
    <w:name w:val="Titre 2 Car"/>
    <w:basedOn w:val="Policepardfaut"/>
    <w:link w:val="Titre2"/>
    <w:uiPriority w:val="9"/>
    <w:rsid w:val="009C26E2"/>
    <w:rPr>
      <w:rFonts w:ascii="Times New Roman" w:eastAsia="Times New Roman" w:hAnsi="Times New Roman" w:cs="Times New Roman"/>
      <w:b/>
      <w:bCs/>
      <w:sz w:val="36"/>
      <w:szCs w:val="36"/>
      <w:lang w:eastAsia="fr-FR"/>
    </w:rPr>
  </w:style>
  <w:style w:type="paragraph" w:customStyle="1" w:styleId="Textbody">
    <w:name w:val="Text body"/>
    <w:basedOn w:val="Normal"/>
    <w:uiPriority w:val="99"/>
    <w:rsid w:val="009C26E2"/>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customStyle="1" w:styleId="assnatloitexte">
    <w:name w:val="assnatloitexte"/>
    <w:basedOn w:val="Normal"/>
    <w:rsid w:val="008645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andard">
    <w:name w:val="Standard"/>
    <w:rsid w:val="00425FE1"/>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Date1">
    <w:name w:val="Date1"/>
    <w:basedOn w:val="Normal"/>
    <w:rsid w:val="009873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46B88"/>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C3544"/>
    <w:pPr>
      <w:spacing w:after="0" w:line="240" w:lineRule="auto"/>
      <w:ind w:left="720"/>
      <w:contextualSpacing/>
    </w:pPr>
    <w:rPr>
      <w:sz w:val="24"/>
      <w:szCs w:val="24"/>
    </w:rPr>
  </w:style>
  <w:style w:type="character" w:styleId="Marquedecommentaire">
    <w:name w:val="annotation reference"/>
    <w:basedOn w:val="Policepardfaut"/>
    <w:uiPriority w:val="99"/>
    <w:semiHidden/>
    <w:unhideWhenUsed/>
    <w:rsid w:val="00834170"/>
    <w:rPr>
      <w:sz w:val="16"/>
      <w:szCs w:val="16"/>
    </w:rPr>
  </w:style>
  <w:style w:type="paragraph" w:styleId="Commentaire">
    <w:name w:val="annotation text"/>
    <w:basedOn w:val="Normal"/>
    <w:link w:val="CommentaireCar"/>
    <w:uiPriority w:val="99"/>
    <w:unhideWhenUsed/>
    <w:rsid w:val="00834170"/>
    <w:pPr>
      <w:spacing w:line="240" w:lineRule="auto"/>
    </w:pPr>
    <w:rPr>
      <w:sz w:val="20"/>
      <w:szCs w:val="20"/>
    </w:rPr>
  </w:style>
  <w:style w:type="character" w:customStyle="1" w:styleId="CommentaireCar">
    <w:name w:val="Commentaire Car"/>
    <w:basedOn w:val="Policepardfaut"/>
    <w:link w:val="Commentaire"/>
    <w:uiPriority w:val="99"/>
    <w:rsid w:val="00834170"/>
    <w:rPr>
      <w:sz w:val="20"/>
      <w:szCs w:val="20"/>
    </w:rPr>
  </w:style>
  <w:style w:type="paragraph" w:customStyle="1" w:styleId="date">
    <w:name w:val="date"/>
    <w:basedOn w:val="Normal"/>
    <w:rsid w:val="0045399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4521">
      <w:bodyDiv w:val="1"/>
      <w:marLeft w:val="0"/>
      <w:marRight w:val="0"/>
      <w:marTop w:val="0"/>
      <w:marBottom w:val="0"/>
      <w:divBdr>
        <w:top w:val="none" w:sz="0" w:space="0" w:color="auto"/>
        <w:left w:val="none" w:sz="0" w:space="0" w:color="auto"/>
        <w:bottom w:val="none" w:sz="0" w:space="0" w:color="auto"/>
        <w:right w:val="none" w:sz="0" w:space="0" w:color="auto"/>
      </w:divBdr>
    </w:div>
    <w:div w:id="224878649">
      <w:bodyDiv w:val="1"/>
      <w:marLeft w:val="0"/>
      <w:marRight w:val="0"/>
      <w:marTop w:val="0"/>
      <w:marBottom w:val="0"/>
      <w:divBdr>
        <w:top w:val="none" w:sz="0" w:space="0" w:color="auto"/>
        <w:left w:val="none" w:sz="0" w:space="0" w:color="auto"/>
        <w:bottom w:val="none" w:sz="0" w:space="0" w:color="auto"/>
        <w:right w:val="none" w:sz="0" w:space="0" w:color="auto"/>
      </w:divBdr>
    </w:div>
    <w:div w:id="704986198">
      <w:bodyDiv w:val="1"/>
      <w:marLeft w:val="0"/>
      <w:marRight w:val="0"/>
      <w:marTop w:val="0"/>
      <w:marBottom w:val="0"/>
      <w:divBdr>
        <w:top w:val="none" w:sz="0" w:space="0" w:color="auto"/>
        <w:left w:val="none" w:sz="0" w:space="0" w:color="auto"/>
        <w:bottom w:val="none" w:sz="0" w:space="0" w:color="auto"/>
        <w:right w:val="none" w:sz="0" w:space="0" w:color="auto"/>
      </w:divBdr>
      <w:divsChild>
        <w:div w:id="111413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359807">
              <w:marLeft w:val="0"/>
              <w:marRight w:val="0"/>
              <w:marTop w:val="0"/>
              <w:marBottom w:val="0"/>
              <w:divBdr>
                <w:top w:val="none" w:sz="0" w:space="0" w:color="auto"/>
                <w:left w:val="none" w:sz="0" w:space="0" w:color="auto"/>
                <w:bottom w:val="none" w:sz="0" w:space="0" w:color="auto"/>
                <w:right w:val="none" w:sz="0" w:space="0" w:color="auto"/>
              </w:divBdr>
              <w:divsChild>
                <w:div w:id="1302266014">
                  <w:marLeft w:val="0"/>
                  <w:marRight w:val="0"/>
                  <w:marTop w:val="0"/>
                  <w:marBottom w:val="0"/>
                  <w:divBdr>
                    <w:top w:val="none" w:sz="0" w:space="0" w:color="auto"/>
                    <w:left w:val="none" w:sz="0" w:space="0" w:color="auto"/>
                    <w:bottom w:val="none" w:sz="0" w:space="0" w:color="auto"/>
                    <w:right w:val="none" w:sz="0" w:space="0" w:color="auto"/>
                  </w:divBdr>
                  <w:divsChild>
                    <w:div w:id="352002112">
                      <w:marLeft w:val="0"/>
                      <w:marRight w:val="0"/>
                      <w:marTop w:val="0"/>
                      <w:marBottom w:val="0"/>
                      <w:divBdr>
                        <w:top w:val="none" w:sz="0" w:space="0" w:color="auto"/>
                        <w:left w:val="none" w:sz="0" w:space="0" w:color="auto"/>
                        <w:bottom w:val="none" w:sz="0" w:space="0" w:color="auto"/>
                        <w:right w:val="none" w:sz="0" w:space="0" w:color="auto"/>
                      </w:divBdr>
                      <w:divsChild>
                        <w:div w:id="566918360">
                          <w:marLeft w:val="0"/>
                          <w:marRight w:val="0"/>
                          <w:marTop w:val="0"/>
                          <w:marBottom w:val="0"/>
                          <w:divBdr>
                            <w:top w:val="none" w:sz="0" w:space="0" w:color="auto"/>
                            <w:left w:val="none" w:sz="0" w:space="0" w:color="auto"/>
                            <w:bottom w:val="none" w:sz="0" w:space="0" w:color="auto"/>
                            <w:right w:val="none" w:sz="0" w:space="0" w:color="auto"/>
                          </w:divBdr>
                          <w:divsChild>
                            <w:div w:id="1286426614">
                              <w:marLeft w:val="0"/>
                              <w:marRight w:val="0"/>
                              <w:marTop w:val="0"/>
                              <w:marBottom w:val="0"/>
                              <w:divBdr>
                                <w:top w:val="none" w:sz="0" w:space="0" w:color="auto"/>
                                <w:left w:val="none" w:sz="0" w:space="0" w:color="auto"/>
                                <w:bottom w:val="none" w:sz="0" w:space="0" w:color="auto"/>
                                <w:right w:val="none" w:sz="0" w:space="0" w:color="auto"/>
                              </w:divBdr>
                              <w:divsChild>
                                <w:div w:id="12749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112825">
      <w:bodyDiv w:val="1"/>
      <w:marLeft w:val="0"/>
      <w:marRight w:val="0"/>
      <w:marTop w:val="0"/>
      <w:marBottom w:val="0"/>
      <w:divBdr>
        <w:top w:val="none" w:sz="0" w:space="0" w:color="auto"/>
        <w:left w:val="none" w:sz="0" w:space="0" w:color="auto"/>
        <w:bottom w:val="none" w:sz="0" w:space="0" w:color="auto"/>
        <w:right w:val="none" w:sz="0" w:space="0" w:color="auto"/>
      </w:divBdr>
    </w:div>
    <w:div w:id="1131944022">
      <w:bodyDiv w:val="1"/>
      <w:marLeft w:val="0"/>
      <w:marRight w:val="0"/>
      <w:marTop w:val="0"/>
      <w:marBottom w:val="0"/>
      <w:divBdr>
        <w:top w:val="none" w:sz="0" w:space="0" w:color="auto"/>
        <w:left w:val="none" w:sz="0" w:space="0" w:color="auto"/>
        <w:bottom w:val="none" w:sz="0" w:space="0" w:color="auto"/>
        <w:right w:val="none" w:sz="0" w:space="0" w:color="auto"/>
      </w:divBdr>
    </w:div>
    <w:div w:id="1177695762">
      <w:bodyDiv w:val="1"/>
      <w:marLeft w:val="0"/>
      <w:marRight w:val="0"/>
      <w:marTop w:val="0"/>
      <w:marBottom w:val="0"/>
      <w:divBdr>
        <w:top w:val="none" w:sz="0" w:space="0" w:color="auto"/>
        <w:left w:val="none" w:sz="0" w:space="0" w:color="auto"/>
        <w:bottom w:val="none" w:sz="0" w:space="0" w:color="auto"/>
        <w:right w:val="none" w:sz="0" w:space="0" w:color="auto"/>
      </w:divBdr>
    </w:div>
    <w:div w:id="1203712148">
      <w:bodyDiv w:val="1"/>
      <w:marLeft w:val="0"/>
      <w:marRight w:val="0"/>
      <w:marTop w:val="0"/>
      <w:marBottom w:val="0"/>
      <w:divBdr>
        <w:top w:val="none" w:sz="0" w:space="0" w:color="auto"/>
        <w:left w:val="none" w:sz="0" w:space="0" w:color="auto"/>
        <w:bottom w:val="none" w:sz="0" w:space="0" w:color="auto"/>
        <w:right w:val="none" w:sz="0" w:space="0" w:color="auto"/>
      </w:divBdr>
    </w:div>
    <w:div w:id="1542472889">
      <w:bodyDiv w:val="1"/>
      <w:marLeft w:val="0"/>
      <w:marRight w:val="0"/>
      <w:marTop w:val="0"/>
      <w:marBottom w:val="0"/>
      <w:divBdr>
        <w:top w:val="none" w:sz="0" w:space="0" w:color="auto"/>
        <w:left w:val="none" w:sz="0" w:space="0" w:color="auto"/>
        <w:bottom w:val="none" w:sz="0" w:space="0" w:color="auto"/>
        <w:right w:val="none" w:sz="0" w:space="0" w:color="auto"/>
      </w:divBdr>
    </w:div>
    <w:div w:id="1569683457">
      <w:bodyDiv w:val="1"/>
      <w:marLeft w:val="0"/>
      <w:marRight w:val="0"/>
      <w:marTop w:val="0"/>
      <w:marBottom w:val="0"/>
      <w:divBdr>
        <w:top w:val="none" w:sz="0" w:space="0" w:color="auto"/>
        <w:left w:val="none" w:sz="0" w:space="0" w:color="auto"/>
        <w:bottom w:val="none" w:sz="0" w:space="0" w:color="auto"/>
        <w:right w:val="none" w:sz="0" w:space="0" w:color="auto"/>
      </w:divBdr>
    </w:div>
    <w:div w:id="1848517734">
      <w:bodyDiv w:val="1"/>
      <w:marLeft w:val="0"/>
      <w:marRight w:val="0"/>
      <w:marTop w:val="0"/>
      <w:marBottom w:val="0"/>
      <w:divBdr>
        <w:top w:val="none" w:sz="0" w:space="0" w:color="auto"/>
        <w:left w:val="none" w:sz="0" w:space="0" w:color="auto"/>
        <w:bottom w:val="none" w:sz="0" w:space="0" w:color="auto"/>
        <w:right w:val="none" w:sz="0" w:space="0" w:color="auto"/>
      </w:divBdr>
    </w:div>
    <w:div w:id="1868327113">
      <w:bodyDiv w:val="1"/>
      <w:marLeft w:val="0"/>
      <w:marRight w:val="0"/>
      <w:marTop w:val="0"/>
      <w:marBottom w:val="0"/>
      <w:divBdr>
        <w:top w:val="none" w:sz="0" w:space="0" w:color="auto"/>
        <w:left w:val="none" w:sz="0" w:space="0" w:color="auto"/>
        <w:bottom w:val="none" w:sz="0" w:space="0" w:color="auto"/>
        <w:right w:val="none" w:sz="0" w:space="0" w:color="auto"/>
      </w:divBdr>
    </w:div>
    <w:div w:id="18966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7BFF093E-90D8-4EAA-8E1E-948CD240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12190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Leonetti</dc:creator>
  <cp:keywords/>
  <dc:description/>
  <cp:lastModifiedBy>Eric Pauget</cp:lastModifiedBy>
  <cp:revision>3</cp:revision>
  <cp:lastPrinted>2021-03-12T15:29:00Z</cp:lastPrinted>
  <dcterms:created xsi:type="dcterms:W3CDTF">2021-03-22T10:32:00Z</dcterms:created>
  <dcterms:modified xsi:type="dcterms:W3CDTF">2021-03-22T11:17:00Z</dcterms:modified>
</cp:coreProperties>
</file>